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4B9" w:rsidRPr="008867C0" w:rsidRDefault="00021868" w:rsidP="00B244B9">
      <w:pPr>
        <w:rPr>
          <w:rFonts w:ascii="Arial" w:hAnsi="Arial" w:cs="Arial"/>
          <w:b/>
          <w:sz w:val="20"/>
          <w:szCs w:val="20"/>
          <w:lang w:val="en-NZ"/>
        </w:rPr>
      </w:pPr>
      <w:r w:rsidRPr="008867C0">
        <w:rPr>
          <w:rFonts w:ascii="Arial" w:hAnsi="Arial" w:cs="Arial"/>
          <w:b/>
          <w:sz w:val="20"/>
          <w:szCs w:val="20"/>
          <w:lang w:val="en-NZ"/>
        </w:rPr>
        <w:t>Taranaki Futures Glossary</w:t>
      </w:r>
    </w:p>
    <w:p w:rsidR="00021868" w:rsidRPr="008867C0" w:rsidRDefault="00021868" w:rsidP="00B244B9">
      <w:pPr>
        <w:rPr>
          <w:rFonts w:ascii="Arial" w:hAnsi="Arial" w:cs="Arial"/>
          <w:sz w:val="20"/>
          <w:szCs w:val="20"/>
          <w:lang w:val="en-NZ"/>
        </w:rPr>
      </w:pPr>
    </w:p>
    <w:tbl>
      <w:tblPr>
        <w:tblStyle w:val="TableGrid"/>
        <w:tblW w:w="0" w:type="auto"/>
        <w:tblLook w:val="04A0" w:firstRow="1" w:lastRow="0" w:firstColumn="1" w:lastColumn="0" w:noHBand="0" w:noVBand="1"/>
      </w:tblPr>
      <w:tblGrid>
        <w:gridCol w:w="2464"/>
        <w:gridCol w:w="7090"/>
        <w:gridCol w:w="4985"/>
      </w:tblGrid>
      <w:tr w:rsidR="00021868" w:rsidRPr="008867C0" w:rsidTr="00F00FC9">
        <w:tc>
          <w:tcPr>
            <w:tcW w:w="2547" w:type="dxa"/>
          </w:tcPr>
          <w:p w:rsidR="00021868" w:rsidRPr="008867C0" w:rsidRDefault="00021868" w:rsidP="00B244B9">
            <w:pPr>
              <w:rPr>
                <w:rFonts w:ascii="Arial" w:hAnsi="Arial" w:cs="Arial"/>
                <w:sz w:val="20"/>
                <w:szCs w:val="20"/>
                <w:lang w:val="en-NZ"/>
              </w:rPr>
            </w:pPr>
            <w:r w:rsidRPr="008867C0">
              <w:rPr>
                <w:rFonts w:ascii="Arial" w:hAnsi="Arial" w:cs="Arial"/>
                <w:sz w:val="20"/>
                <w:szCs w:val="20"/>
                <w:lang w:val="en-NZ"/>
              </w:rPr>
              <w:t>3+2</w:t>
            </w:r>
          </w:p>
        </w:tc>
        <w:tc>
          <w:tcPr>
            <w:tcW w:w="7513" w:type="dxa"/>
          </w:tcPr>
          <w:p w:rsidR="00021868" w:rsidRPr="008867C0" w:rsidRDefault="00F00FC9" w:rsidP="00B244B9">
            <w:pPr>
              <w:rPr>
                <w:rFonts w:ascii="Arial" w:hAnsi="Arial" w:cs="Arial"/>
                <w:sz w:val="20"/>
                <w:szCs w:val="20"/>
                <w:lang w:val="en-NZ"/>
              </w:rPr>
            </w:pPr>
            <w:r w:rsidRPr="008867C0">
              <w:rPr>
                <w:rFonts w:ascii="Arial" w:hAnsi="Arial" w:cs="Arial"/>
                <w:sz w:val="20"/>
                <w:szCs w:val="20"/>
                <w:lang w:val="en-NZ"/>
              </w:rPr>
              <w:t>A programme where s</w:t>
            </w:r>
            <w:r w:rsidR="00021868" w:rsidRPr="008867C0">
              <w:rPr>
                <w:rFonts w:ascii="Arial" w:hAnsi="Arial" w:cs="Arial"/>
                <w:sz w:val="20"/>
                <w:szCs w:val="20"/>
                <w:lang w:val="en-NZ"/>
              </w:rPr>
              <w:t xml:space="preserve">tudents attend 3 days at school and 2 days in a tertiary setting or workplace. Learning in each setting is complimentary. Usually occurs at </w:t>
            </w:r>
            <w:r w:rsidRPr="008867C0">
              <w:rPr>
                <w:rFonts w:ascii="Arial" w:hAnsi="Arial" w:cs="Arial"/>
                <w:sz w:val="20"/>
                <w:szCs w:val="20"/>
                <w:lang w:val="en-NZ"/>
              </w:rPr>
              <w:t xml:space="preserve">NCEA </w:t>
            </w:r>
            <w:r w:rsidR="00021868" w:rsidRPr="008867C0">
              <w:rPr>
                <w:rFonts w:ascii="Arial" w:hAnsi="Arial" w:cs="Arial"/>
                <w:sz w:val="20"/>
                <w:szCs w:val="20"/>
                <w:lang w:val="en-NZ"/>
              </w:rPr>
              <w:t xml:space="preserve">Level 3, Year 13. </w:t>
            </w:r>
          </w:p>
        </w:tc>
        <w:tc>
          <w:tcPr>
            <w:tcW w:w="4479" w:type="dxa"/>
          </w:tcPr>
          <w:p w:rsidR="003259A4" w:rsidRDefault="003259A4" w:rsidP="00B244B9">
            <w:pPr>
              <w:rPr>
                <w:rFonts w:ascii="Arial" w:hAnsi="Arial" w:cs="Arial"/>
                <w:sz w:val="20"/>
                <w:szCs w:val="20"/>
                <w:lang w:val="en-NZ"/>
              </w:rPr>
            </w:pPr>
          </w:p>
          <w:p w:rsidR="00021868" w:rsidRPr="003259A4" w:rsidRDefault="003259A4" w:rsidP="003259A4">
            <w:pPr>
              <w:tabs>
                <w:tab w:val="left" w:pos="1170"/>
              </w:tabs>
              <w:rPr>
                <w:rFonts w:ascii="Arial" w:hAnsi="Arial" w:cs="Arial"/>
                <w:sz w:val="20"/>
                <w:szCs w:val="20"/>
                <w:lang w:val="en-NZ"/>
              </w:rPr>
            </w:pPr>
            <w:r>
              <w:rPr>
                <w:rFonts w:ascii="Arial" w:hAnsi="Arial" w:cs="Arial"/>
                <w:sz w:val="20"/>
                <w:szCs w:val="20"/>
                <w:lang w:val="en-NZ"/>
              </w:rPr>
              <w:tab/>
            </w:r>
          </w:p>
        </w:tc>
      </w:tr>
      <w:tr w:rsidR="003259A4" w:rsidRPr="008867C0" w:rsidTr="00F00FC9">
        <w:tc>
          <w:tcPr>
            <w:tcW w:w="2547" w:type="dxa"/>
          </w:tcPr>
          <w:p w:rsidR="003259A4" w:rsidRPr="008867C0" w:rsidRDefault="002217A7" w:rsidP="00B244B9">
            <w:pPr>
              <w:rPr>
                <w:rFonts w:ascii="Arial" w:hAnsi="Arial" w:cs="Arial"/>
                <w:sz w:val="20"/>
                <w:szCs w:val="20"/>
                <w:lang w:val="en-NZ"/>
              </w:rPr>
            </w:pPr>
            <w:r>
              <w:rPr>
                <w:rFonts w:ascii="Arial" w:hAnsi="Arial" w:cs="Arial"/>
                <w:sz w:val="20"/>
                <w:szCs w:val="20"/>
                <w:lang w:val="en-NZ"/>
              </w:rPr>
              <w:t xml:space="preserve">Career (occupation, </w:t>
            </w:r>
            <w:r w:rsidR="003259A4">
              <w:rPr>
                <w:rFonts w:ascii="Arial" w:hAnsi="Arial" w:cs="Arial"/>
                <w:sz w:val="20"/>
                <w:szCs w:val="20"/>
                <w:lang w:val="en-NZ"/>
              </w:rPr>
              <w:t>job)</w:t>
            </w:r>
          </w:p>
        </w:tc>
        <w:tc>
          <w:tcPr>
            <w:tcW w:w="7513" w:type="dxa"/>
          </w:tcPr>
          <w:p w:rsidR="003259A4" w:rsidRPr="008867C0" w:rsidRDefault="003259A4" w:rsidP="00B244B9">
            <w:pPr>
              <w:rPr>
                <w:rFonts w:ascii="Arial" w:hAnsi="Arial" w:cs="Arial"/>
                <w:sz w:val="20"/>
                <w:szCs w:val="20"/>
                <w:lang w:val="en-NZ"/>
              </w:rPr>
            </w:pPr>
            <w:r>
              <w:rPr>
                <w:rFonts w:ascii="Arial" w:hAnsi="Arial" w:cs="Arial"/>
                <w:sz w:val="20"/>
                <w:szCs w:val="20"/>
                <w:lang w:val="en-NZ"/>
              </w:rPr>
              <w:t xml:space="preserve">A career is the life arc of a person’s work in jobs that may occur in different </w:t>
            </w:r>
            <w:r w:rsidR="002217A7">
              <w:rPr>
                <w:rFonts w:ascii="Arial" w:hAnsi="Arial" w:cs="Arial"/>
                <w:sz w:val="20"/>
                <w:szCs w:val="20"/>
                <w:lang w:val="en-NZ"/>
              </w:rPr>
              <w:t>occupations.</w:t>
            </w:r>
          </w:p>
        </w:tc>
        <w:tc>
          <w:tcPr>
            <w:tcW w:w="4479" w:type="dxa"/>
          </w:tcPr>
          <w:p w:rsidR="003259A4" w:rsidRDefault="003259A4" w:rsidP="00B244B9">
            <w:pPr>
              <w:rPr>
                <w:rFonts w:ascii="Arial" w:hAnsi="Arial" w:cs="Arial"/>
                <w:sz w:val="20"/>
                <w:szCs w:val="20"/>
                <w:lang w:val="en-NZ"/>
              </w:rPr>
            </w:pPr>
          </w:p>
        </w:tc>
      </w:tr>
      <w:tr w:rsidR="00021868" w:rsidRPr="008867C0" w:rsidTr="00F00FC9">
        <w:tc>
          <w:tcPr>
            <w:tcW w:w="2547" w:type="dxa"/>
          </w:tcPr>
          <w:p w:rsidR="00021868" w:rsidRPr="008867C0" w:rsidRDefault="00021868" w:rsidP="00B244B9">
            <w:pPr>
              <w:rPr>
                <w:rFonts w:ascii="Arial" w:hAnsi="Arial" w:cs="Arial"/>
                <w:sz w:val="20"/>
                <w:szCs w:val="20"/>
                <w:lang w:val="en-NZ"/>
              </w:rPr>
            </w:pPr>
            <w:r w:rsidRPr="008867C0">
              <w:rPr>
                <w:rFonts w:ascii="Arial" w:hAnsi="Arial" w:cs="Arial"/>
                <w:sz w:val="20"/>
                <w:szCs w:val="20"/>
                <w:lang w:val="en-NZ"/>
              </w:rPr>
              <w:t>Careers and Transition Education Association</w:t>
            </w:r>
            <w:r w:rsidR="00F00FC9" w:rsidRPr="008867C0">
              <w:rPr>
                <w:rFonts w:ascii="Arial" w:hAnsi="Arial" w:cs="Arial"/>
                <w:sz w:val="20"/>
                <w:szCs w:val="20"/>
                <w:lang w:val="en-NZ"/>
              </w:rPr>
              <w:t xml:space="preserve"> (CATE)</w:t>
            </w:r>
          </w:p>
        </w:tc>
        <w:tc>
          <w:tcPr>
            <w:tcW w:w="7513" w:type="dxa"/>
          </w:tcPr>
          <w:p w:rsidR="00021868" w:rsidRPr="008867C0" w:rsidRDefault="00F00FC9" w:rsidP="00B244B9">
            <w:pPr>
              <w:rPr>
                <w:rFonts w:ascii="Arial" w:hAnsi="Arial" w:cs="Arial"/>
                <w:sz w:val="20"/>
                <w:szCs w:val="20"/>
                <w:lang w:val="en-NZ"/>
              </w:rPr>
            </w:pPr>
            <w:r w:rsidRPr="008867C0">
              <w:rPr>
                <w:rFonts w:ascii="Arial" w:hAnsi="Arial" w:cs="Arial"/>
                <w:sz w:val="20"/>
                <w:szCs w:val="20"/>
                <w:lang w:val="en-NZ"/>
              </w:rPr>
              <w:t>Professional association for school Careers Advisers, Transition teachers, Gateway coordinators, STAR coordinators and Vocational Pathways leaders, as well as from the associated areas such as private practice, tertiary sector, Careers NZ and Industry Training Organisations.</w:t>
            </w:r>
          </w:p>
        </w:tc>
        <w:tc>
          <w:tcPr>
            <w:tcW w:w="4479" w:type="dxa"/>
          </w:tcPr>
          <w:p w:rsidR="00021868" w:rsidRPr="008867C0" w:rsidRDefault="00FF27EC" w:rsidP="00B244B9">
            <w:pPr>
              <w:rPr>
                <w:rFonts w:ascii="Arial" w:hAnsi="Arial" w:cs="Arial"/>
                <w:sz w:val="20"/>
                <w:szCs w:val="20"/>
                <w:lang w:val="en-NZ"/>
              </w:rPr>
            </w:pPr>
            <w:hyperlink r:id="rId8" w:history="1">
              <w:r w:rsidR="00F00FC9" w:rsidRPr="008867C0">
                <w:rPr>
                  <w:rStyle w:val="Hyperlink"/>
                  <w:rFonts w:ascii="Arial" w:hAnsi="Arial" w:cs="Arial"/>
                  <w:sz w:val="20"/>
                  <w:szCs w:val="20"/>
                  <w:lang w:val="en-NZ"/>
                </w:rPr>
                <w:t>http://cate.co.nz/</w:t>
              </w:r>
            </w:hyperlink>
          </w:p>
          <w:p w:rsidR="00F00FC9" w:rsidRPr="008867C0" w:rsidRDefault="00F00FC9" w:rsidP="00B244B9">
            <w:pPr>
              <w:rPr>
                <w:rFonts w:ascii="Arial" w:hAnsi="Arial" w:cs="Arial"/>
                <w:sz w:val="20"/>
                <w:szCs w:val="20"/>
                <w:lang w:val="en-NZ"/>
              </w:rPr>
            </w:pPr>
          </w:p>
        </w:tc>
      </w:tr>
      <w:tr w:rsidR="00F00FC9" w:rsidRPr="008867C0" w:rsidTr="002217A7">
        <w:trPr>
          <w:trHeight w:val="1142"/>
        </w:trPr>
        <w:tc>
          <w:tcPr>
            <w:tcW w:w="2547" w:type="dxa"/>
          </w:tcPr>
          <w:p w:rsidR="00F00FC9" w:rsidRPr="008867C0" w:rsidRDefault="00F00FC9" w:rsidP="00B244B9">
            <w:pPr>
              <w:rPr>
                <w:rFonts w:ascii="Arial" w:hAnsi="Arial" w:cs="Arial"/>
                <w:sz w:val="20"/>
                <w:szCs w:val="20"/>
                <w:lang w:val="en-NZ"/>
              </w:rPr>
            </w:pPr>
            <w:r w:rsidRPr="008867C0">
              <w:rPr>
                <w:rFonts w:ascii="Arial" w:hAnsi="Arial" w:cs="Arial"/>
                <w:sz w:val="20"/>
                <w:szCs w:val="20"/>
                <w:lang w:val="en-NZ"/>
              </w:rPr>
              <w:t>Careers NZ (CNZ)</w:t>
            </w:r>
          </w:p>
        </w:tc>
        <w:tc>
          <w:tcPr>
            <w:tcW w:w="7513" w:type="dxa"/>
          </w:tcPr>
          <w:p w:rsidR="00F00FC9" w:rsidRPr="008867C0" w:rsidRDefault="00F00FC9" w:rsidP="00B244B9">
            <w:pPr>
              <w:rPr>
                <w:rFonts w:ascii="Arial" w:hAnsi="Arial" w:cs="Arial"/>
                <w:sz w:val="20"/>
                <w:szCs w:val="20"/>
                <w:lang w:val="en-NZ"/>
              </w:rPr>
            </w:pPr>
            <w:r w:rsidRPr="008867C0">
              <w:rPr>
                <w:rFonts w:ascii="Arial" w:hAnsi="Arial" w:cs="Arial"/>
                <w:sz w:val="20"/>
                <w:szCs w:val="20"/>
                <w:lang w:val="en-NZ"/>
              </w:rPr>
              <w:t>Careers NZ is a crown entity the role of which is to improve connections between education and employment, by using expertise to support organisations and New Zealanders so they are making informed choices about their future employment. CNZ will become part of TEC in 2017.</w:t>
            </w:r>
          </w:p>
        </w:tc>
        <w:tc>
          <w:tcPr>
            <w:tcW w:w="4479" w:type="dxa"/>
          </w:tcPr>
          <w:p w:rsidR="00F00FC9" w:rsidRPr="008867C0" w:rsidRDefault="00FF27EC" w:rsidP="00B244B9">
            <w:pPr>
              <w:rPr>
                <w:rFonts w:ascii="Arial" w:hAnsi="Arial" w:cs="Arial"/>
                <w:sz w:val="20"/>
                <w:szCs w:val="20"/>
                <w:lang w:val="en-NZ"/>
              </w:rPr>
            </w:pPr>
            <w:hyperlink r:id="rId9" w:history="1">
              <w:r w:rsidR="00F00FC9" w:rsidRPr="008867C0">
                <w:rPr>
                  <w:rStyle w:val="Hyperlink"/>
                  <w:rFonts w:ascii="Arial" w:hAnsi="Arial" w:cs="Arial"/>
                  <w:sz w:val="20"/>
                  <w:szCs w:val="20"/>
                  <w:lang w:val="en-NZ"/>
                </w:rPr>
                <w:t>http://www.careers.govt.nz/</w:t>
              </w:r>
            </w:hyperlink>
          </w:p>
          <w:p w:rsidR="00F00FC9" w:rsidRPr="008867C0" w:rsidRDefault="00F00FC9" w:rsidP="00B244B9">
            <w:pPr>
              <w:rPr>
                <w:rFonts w:ascii="Arial" w:hAnsi="Arial" w:cs="Arial"/>
                <w:sz w:val="20"/>
                <w:szCs w:val="20"/>
                <w:lang w:val="en-NZ"/>
              </w:rPr>
            </w:pPr>
          </w:p>
        </w:tc>
      </w:tr>
      <w:tr w:rsidR="00F00FC9" w:rsidRPr="008867C0" w:rsidTr="00F00FC9">
        <w:tc>
          <w:tcPr>
            <w:tcW w:w="2547" w:type="dxa"/>
          </w:tcPr>
          <w:p w:rsidR="00F00FC9" w:rsidRPr="008867C0" w:rsidRDefault="00F00FC9" w:rsidP="00F00FC9">
            <w:pPr>
              <w:rPr>
                <w:rFonts w:ascii="Arial" w:hAnsi="Arial" w:cs="Arial"/>
                <w:sz w:val="20"/>
                <w:szCs w:val="20"/>
                <w:lang w:val="en-NZ"/>
              </w:rPr>
            </w:pPr>
            <w:r w:rsidRPr="008867C0">
              <w:rPr>
                <w:rFonts w:ascii="Arial" w:hAnsi="Arial" w:cs="Arial"/>
                <w:sz w:val="20"/>
                <w:szCs w:val="20"/>
                <w:lang w:val="en-NZ"/>
              </w:rPr>
              <w:t>Careers Information Grant (CIG)</w:t>
            </w:r>
          </w:p>
        </w:tc>
        <w:tc>
          <w:tcPr>
            <w:tcW w:w="7513" w:type="dxa"/>
          </w:tcPr>
          <w:p w:rsidR="00F00FC9" w:rsidRPr="008867C0" w:rsidRDefault="00F00FC9" w:rsidP="00F00FC9">
            <w:pPr>
              <w:rPr>
                <w:rFonts w:ascii="Arial" w:hAnsi="Arial" w:cs="Arial"/>
                <w:sz w:val="20"/>
                <w:szCs w:val="20"/>
                <w:lang w:val="en-NZ"/>
              </w:rPr>
            </w:pPr>
            <w:r w:rsidRPr="008867C0">
              <w:rPr>
                <w:rFonts w:ascii="Arial" w:hAnsi="Arial" w:cs="Arial"/>
                <w:sz w:val="20"/>
                <w:szCs w:val="20"/>
                <w:lang w:val="en-NZ"/>
              </w:rPr>
              <w:t>A grant to help schools deliver careers information and guidance</w:t>
            </w:r>
            <w:r w:rsidR="000709D9" w:rsidRPr="008867C0">
              <w:rPr>
                <w:rFonts w:ascii="Arial" w:hAnsi="Arial" w:cs="Arial"/>
                <w:sz w:val="20"/>
                <w:szCs w:val="20"/>
                <w:lang w:val="en-NZ"/>
              </w:rPr>
              <w:t>. It is based on the decile rating and roll number.</w:t>
            </w:r>
          </w:p>
        </w:tc>
        <w:tc>
          <w:tcPr>
            <w:tcW w:w="4479" w:type="dxa"/>
          </w:tcPr>
          <w:p w:rsidR="00F00FC9" w:rsidRPr="008867C0" w:rsidRDefault="00FF27EC" w:rsidP="00F00FC9">
            <w:pPr>
              <w:rPr>
                <w:rFonts w:ascii="Arial" w:hAnsi="Arial" w:cs="Arial"/>
                <w:sz w:val="20"/>
                <w:szCs w:val="20"/>
                <w:lang w:val="en-NZ"/>
              </w:rPr>
            </w:pPr>
            <w:hyperlink r:id="rId10" w:history="1">
              <w:r w:rsidR="000709D9" w:rsidRPr="008867C0">
                <w:rPr>
                  <w:rStyle w:val="Hyperlink"/>
                  <w:rFonts w:ascii="Arial" w:hAnsi="Arial" w:cs="Arial"/>
                  <w:sz w:val="20"/>
                  <w:szCs w:val="20"/>
                  <w:lang w:val="en-NZ"/>
                </w:rPr>
                <w:t>http://cate.co.nz/funding/</w:t>
              </w:r>
            </w:hyperlink>
          </w:p>
          <w:p w:rsidR="000709D9" w:rsidRPr="008867C0" w:rsidRDefault="000709D9" w:rsidP="00F00FC9">
            <w:pPr>
              <w:rPr>
                <w:rFonts w:ascii="Arial" w:hAnsi="Arial" w:cs="Arial"/>
                <w:sz w:val="20"/>
                <w:szCs w:val="20"/>
                <w:lang w:val="en-NZ"/>
              </w:rPr>
            </w:pPr>
          </w:p>
        </w:tc>
      </w:tr>
      <w:tr w:rsidR="000709D9" w:rsidRPr="008867C0" w:rsidTr="00F00FC9">
        <w:tc>
          <w:tcPr>
            <w:tcW w:w="2547" w:type="dxa"/>
          </w:tcPr>
          <w:p w:rsidR="000709D9" w:rsidRPr="008867C0" w:rsidRDefault="000709D9" w:rsidP="000709D9">
            <w:pPr>
              <w:rPr>
                <w:rFonts w:ascii="Arial" w:hAnsi="Arial" w:cs="Arial"/>
                <w:sz w:val="20"/>
                <w:szCs w:val="20"/>
                <w:lang w:val="en-NZ"/>
              </w:rPr>
            </w:pPr>
            <w:r w:rsidRPr="008867C0">
              <w:rPr>
                <w:rFonts w:ascii="Arial" w:hAnsi="Arial" w:cs="Arial"/>
                <w:sz w:val="20"/>
                <w:szCs w:val="20"/>
                <w:lang w:val="en-NZ"/>
              </w:rPr>
              <w:t>Cultural Component (CC)</w:t>
            </w:r>
          </w:p>
        </w:tc>
        <w:tc>
          <w:tcPr>
            <w:tcW w:w="7513" w:type="dxa"/>
          </w:tcPr>
          <w:p w:rsidR="000709D9" w:rsidRPr="008867C0" w:rsidRDefault="000709D9" w:rsidP="00657B8E">
            <w:pPr>
              <w:rPr>
                <w:rFonts w:ascii="Arial" w:hAnsi="Arial" w:cs="Arial"/>
                <w:sz w:val="20"/>
                <w:szCs w:val="20"/>
                <w:lang w:val="en-NZ"/>
              </w:rPr>
            </w:pPr>
            <w:r w:rsidRPr="008867C0">
              <w:rPr>
                <w:rFonts w:ascii="Arial" w:hAnsi="Arial" w:cs="Arial"/>
                <w:sz w:val="20"/>
                <w:szCs w:val="20"/>
                <w:lang w:val="en-NZ"/>
              </w:rPr>
              <w:t>The component of the M</w:t>
            </w:r>
            <w:r w:rsidR="002D1079">
              <w:rPr>
                <w:rFonts w:ascii="Arial" w:hAnsi="Arial" w:cs="Arial"/>
                <w:sz w:val="20"/>
                <w:szCs w:val="20"/>
                <w:lang w:val="en-NZ"/>
              </w:rPr>
              <w:t>ā</w:t>
            </w:r>
            <w:r w:rsidRPr="008867C0">
              <w:rPr>
                <w:rFonts w:ascii="Arial" w:hAnsi="Arial" w:cs="Arial"/>
                <w:sz w:val="20"/>
                <w:szCs w:val="20"/>
                <w:lang w:val="en-NZ"/>
              </w:rPr>
              <w:t xml:space="preserve">ori Pasifika Trades Training that incorporates cultural learning and activities. </w:t>
            </w:r>
          </w:p>
        </w:tc>
        <w:tc>
          <w:tcPr>
            <w:tcW w:w="4479" w:type="dxa"/>
          </w:tcPr>
          <w:p w:rsidR="000709D9" w:rsidRPr="008867C0" w:rsidRDefault="000709D9" w:rsidP="000709D9">
            <w:pPr>
              <w:rPr>
                <w:rFonts w:ascii="Arial" w:hAnsi="Arial" w:cs="Arial"/>
                <w:sz w:val="20"/>
                <w:szCs w:val="20"/>
                <w:lang w:val="en-NZ"/>
              </w:rPr>
            </w:pPr>
          </w:p>
        </w:tc>
      </w:tr>
      <w:tr w:rsidR="000709D9" w:rsidRPr="008867C0" w:rsidTr="00F00FC9">
        <w:tc>
          <w:tcPr>
            <w:tcW w:w="2547" w:type="dxa"/>
          </w:tcPr>
          <w:p w:rsidR="000709D9" w:rsidRPr="008867C0" w:rsidRDefault="000709D9" w:rsidP="000709D9">
            <w:pPr>
              <w:rPr>
                <w:rFonts w:ascii="Arial" w:hAnsi="Arial" w:cs="Arial"/>
                <w:sz w:val="20"/>
                <w:szCs w:val="20"/>
                <w:lang w:val="en-NZ"/>
              </w:rPr>
            </w:pPr>
            <w:r w:rsidRPr="008867C0">
              <w:rPr>
                <w:rFonts w:ascii="Arial" w:hAnsi="Arial" w:cs="Arial"/>
                <w:sz w:val="20"/>
                <w:szCs w:val="20"/>
                <w:lang w:val="en-NZ"/>
              </w:rPr>
              <w:t>Gateway</w:t>
            </w:r>
          </w:p>
        </w:tc>
        <w:tc>
          <w:tcPr>
            <w:tcW w:w="7513" w:type="dxa"/>
          </w:tcPr>
          <w:p w:rsidR="000709D9" w:rsidRPr="008867C0" w:rsidRDefault="000709D9" w:rsidP="000709D9">
            <w:pPr>
              <w:rPr>
                <w:rFonts w:ascii="Arial" w:hAnsi="Arial" w:cs="Arial"/>
                <w:sz w:val="20"/>
                <w:szCs w:val="20"/>
                <w:lang w:val="en-NZ"/>
              </w:rPr>
            </w:pPr>
            <w:r w:rsidRPr="008867C0">
              <w:rPr>
                <w:rFonts w:ascii="Arial" w:hAnsi="Arial" w:cs="Arial"/>
                <w:sz w:val="20"/>
                <w:szCs w:val="20"/>
                <w:lang w:val="en-NZ"/>
              </w:rPr>
              <w:t>The purpose of Gateway is to enable schools to provide senior students (year 11 and above) with opportunities to access structured workplace learning that has:</w:t>
            </w:r>
          </w:p>
          <w:p w:rsidR="000709D9" w:rsidRPr="008867C0" w:rsidRDefault="000709D9" w:rsidP="000709D9">
            <w:pPr>
              <w:rPr>
                <w:rFonts w:ascii="Arial" w:hAnsi="Arial" w:cs="Arial"/>
                <w:sz w:val="20"/>
                <w:szCs w:val="20"/>
                <w:lang w:val="en-NZ"/>
              </w:rPr>
            </w:pPr>
          </w:p>
          <w:p w:rsidR="000709D9" w:rsidRPr="008867C0" w:rsidRDefault="000709D9" w:rsidP="000709D9">
            <w:pPr>
              <w:numPr>
                <w:ilvl w:val="0"/>
                <w:numId w:val="3"/>
              </w:numPr>
              <w:rPr>
                <w:rFonts w:ascii="Arial" w:hAnsi="Arial" w:cs="Arial"/>
                <w:sz w:val="20"/>
                <w:szCs w:val="20"/>
                <w:lang w:val="en-NZ"/>
              </w:rPr>
            </w:pPr>
            <w:r w:rsidRPr="008867C0">
              <w:rPr>
                <w:rFonts w:ascii="Arial" w:hAnsi="Arial" w:cs="Arial"/>
                <w:sz w:val="20"/>
                <w:szCs w:val="20"/>
                <w:lang w:val="en-NZ"/>
              </w:rPr>
              <w:t>a formalised learning arrangement set in the workplace</w:t>
            </w:r>
          </w:p>
          <w:p w:rsidR="000709D9" w:rsidRPr="008867C0" w:rsidRDefault="000709D9" w:rsidP="000709D9">
            <w:pPr>
              <w:numPr>
                <w:ilvl w:val="0"/>
                <w:numId w:val="3"/>
              </w:numPr>
              <w:rPr>
                <w:rFonts w:ascii="Arial" w:hAnsi="Arial" w:cs="Arial"/>
                <w:sz w:val="20"/>
                <w:szCs w:val="20"/>
                <w:lang w:val="en-NZ"/>
              </w:rPr>
            </w:pPr>
            <w:r w:rsidRPr="008867C0">
              <w:rPr>
                <w:rFonts w:ascii="Arial" w:hAnsi="Arial" w:cs="Arial"/>
                <w:sz w:val="20"/>
                <w:szCs w:val="20"/>
                <w:lang w:val="en-NZ"/>
              </w:rPr>
              <w:t>specified knowledge and skills that a student will attain</w:t>
            </w:r>
          </w:p>
          <w:p w:rsidR="000709D9" w:rsidRPr="008867C0" w:rsidRDefault="000709D9" w:rsidP="000709D9">
            <w:pPr>
              <w:numPr>
                <w:ilvl w:val="0"/>
                <w:numId w:val="3"/>
              </w:numPr>
              <w:rPr>
                <w:rFonts w:ascii="Arial" w:hAnsi="Arial" w:cs="Arial"/>
                <w:sz w:val="20"/>
                <w:szCs w:val="20"/>
                <w:lang w:val="en-NZ"/>
              </w:rPr>
            </w:pPr>
            <w:r w:rsidRPr="008867C0">
              <w:rPr>
                <w:rFonts w:ascii="Arial" w:hAnsi="Arial" w:cs="Arial"/>
                <w:sz w:val="20"/>
                <w:szCs w:val="20"/>
                <w:lang w:val="en-NZ"/>
              </w:rPr>
              <w:t>specified assessment methods (workplace learning).</w:t>
            </w:r>
          </w:p>
          <w:p w:rsidR="000709D9" w:rsidRPr="008867C0" w:rsidRDefault="000709D9" w:rsidP="000709D9">
            <w:pPr>
              <w:rPr>
                <w:rFonts w:ascii="Arial" w:hAnsi="Arial" w:cs="Arial"/>
                <w:sz w:val="20"/>
                <w:szCs w:val="20"/>
                <w:lang w:val="en-NZ"/>
              </w:rPr>
            </w:pPr>
          </w:p>
        </w:tc>
        <w:tc>
          <w:tcPr>
            <w:tcW w:w="4479" w:type="dxa"/>
          </w:tcPr>
          <w:p w:rsidR="000709D9" w:rsidRPr="008867C0" w:rsidRDefault="00FF27EC" w:rsidP="000709D9">
            <w:pPr>
              <w:rPr>
                <w:rFonts w:ascii="Arial" w:hAnsi="Arial" w:cs="Arial"/>
                <w:sz w:val="20"/>
                <w:szCs w:val="20"/>
                <w:lang w:val="en-NZ"/>
              </w:rPr>
            </w:pPr>
            <w:hyperlink r:id="rId11" w:history="1">
              <w:r w:rsidR="000709D9" w:rsidRPr="008867C0">
                <w:rPr>
                  <w:rStyle w:val="Hyperlink"/>
                  <w:rFonts w:ascii="Arial" w:hAnsi="Arial" w:cs="Arial"/>
                  <w:sz w:val="20"/>
                  <w:szCs w:val="20"/>
                  <w:lang w:val="en-NZ"/>
                </w:rPr>
                <w:t>http://www.tec.govt.nz/Funding/Fund-finder/Gateway/</w:t>
              </w:r>
            </w:hyperlink>
          </w:p>
          <w:p w:rsidR="000709D9" w:rsidRPr="008867C0" w:rsidRDefault="000709D9" w:rsidP="000709D9">
            <w:pPr>
              <w:rPr>
                <w:rFonts w:ascii="Arial" w:hAnsi="Arial" w:cs="Arial"/>
                <w:sz w:val="20"/>
                <w:szCs w:val="20"/>
                <w:lang w:val="en-NZ"/>
              </w:rPr>
            </w:pPr>
          </w:p>
        </w:tc>
      </w:tr>
      <w:tr w:rsidR="000709D9" w:rsidRPr="008867C0" w:rsidTr="00F00FC9">
        <w:tc>
          <w:tcPr>
            <w:tcW w:w="2547" w:type="dxa"/>
          </w:tcPr>
          <w:p w:rsidR="000709D9" w:rsidRPr="008867C0" w:rsidRDefault="000709D9" w:rsidP="000709D9">
            <w:pPr>
              <w:rPr>
                <w:rFonts w:ascii="Arial" w:hAnsi="Arial" w:cs="Arial"/>
                <w:sz w:val="20"/>
                <w:szCs w:val="20"/>
                <w:lang w:val="en-NZ"/>
              </w:rPr>
            </w:pPr>
            <w:r w:rsidRPr="008867C0">
              <w:rPr>
                <w:rFonts w:ascii="Arial" w:hAnsi="Arial" w:cs="Arial"/>
                <w:sz w:val="20"/>
                <w:szCs w:val="20"/>
                <w:lang w:val="en-NZ"/>
              </w:rPr>
              <w:t>Industry Training Organisation (ITO)</w:t>
            </w:r>
          </w:p>
        </w:tc>
        <w:tc>
          <w:tcPr>
            <w:tcW w:w="7513" w:type="dxa"/>
          </w:tcPr>
          <w:p w:rsidR="000709D9" w:rsidRPr="008867C0" w:rsidRDefault="002D1079" w:rsidP="000709D9">
            <w:pPr>
              <w:rPr>
                <w:rFonts w:ascii="Arial" w:hAnsi="Arial" w:cs="Arial"/>
                <w:sz w:val="20"/>
                <w:szCs w:val="20"/>
                <w:lang w:val="en-NZ"/>
              </w:rPr>
            </w:pPr>
            <w:r>
              <w:rPr>
                <w:rFonts w:ascii="Arial" w:hAnsi="Arial" w:cs="Arial"/>
                <w:sz w:val="20"/>
                <w:szCs w:val="20"/>
                <w:lang w:val="en-NZ"/>
              </w:rPr>
              <w:t>Lead</w:t>
            </w:r>
            <w:bookmarkStart w:id="0" w:name="_GoBack"/>
            <w:bookmarkEnd w:id="0"/>
            <w:r w:rsidR="000709D9" w:rsidRPr="008867C0">
              <w:rPr>
                <w:rFonts w:ascii="Arial" w:hAnsi="Arial" w:cs="Arial"/>
                <w:sz w:val="20"/>
                <w:szCs w:val="20"/>
                <w:lang w:val="en-NZ"/>
              </w:rPr>
              <w:t xml:space="preserve"> by the Industry Trades Federation (ITF), the role of the eleven ITO’s is to:</w:t>
            </w:r>
          </w:p>
          <w:p w:rsidR="000709D9" w:rsidRPr="008867C0" w:rsidRDefault="000709D9" w:rsidP="000709D9">
            <w:pPr>
              <w:rPr>
                <w:rFonts w:ascii="Arial" w:hAnsi="Arial" w:cs="Arial"/>
                <w:sz w:val="20"/>
                <w:szCs w:val="20"/>
                <w:lang w:val="en-NZ"/>
              </w:rPr>
            </w:pPr>
          </w:p>
          <w:p w:rsidR="000709D9" w:rsidRPr="008867C0" w:rsidRDefault="000709D9" w:rsidP="000709D9">
            <w:pPr>
              <w:numPr>
                <w:ilvl w:val="0"/>
                <w:numId w:val="4"/>
              </w:numPr>
              <w:rPr>
                <w:rFonts w:ascii="Arial" w:hAnsi="Arial" w:cs="Arial"/>
                <w:sz w:val="20"/>
                <w:szCs w:val="20"/>
                <w:lang w:val="en-NZ"/>
              </w:rPr>
            </w:pPr>
            <w:r w:rsidRPr="008867C0">
              <w:rPr>
                <w:rFonts w:ascii="Arial" w:hAnsi="Arial" w:cs="Arial"/>
                <w:sz w:val="20"/>
                <w:szCs w:val="20"/>
                <w:lang w:val="en-NZ"/>
              </w:rPr>
              <w:t>set national skill standards for their industry</w:t>
            </w:r>
          </w:p>
          <w:p w:rsidR="000709D9" w:rsidRPr="008867C0" w:rsidRDefault="000709D9" w:rsidP="000709D9">
            <w:pPr>
              <w:numPr>
                <w:ilvl w:val="0"/>
                <w:numId w:val="4"/>
              </w:numPr>
              <w:rPr>
                <w:rFonts w:ascii="Arial" w:hAnsi="Arial" w:cs="Arial"/>
                <w:sz w:val="20"/>
                <w:szCs w:val="20"/>
                <w:lang w:val="en-NZ"/>
              </w:rPr>
            </w:pPr>
            <w:r w:rsidRPr="008867C0">
              <w:rPr>
                <w:rFonts w:ascii="Arial" w:hAnsi="Arial" w:cs="Arial"/>
                <w:sz w:val="20"/>
                <w:szCs w:val="20"/>
                <w:lang w:val="en-NZ"/>
              </w:rPr>
              <w:t>provide information and advice to trainees and their employers</w:t>
            </w:r>
          </w:p>
          <w:p w:rsidR="000709D9" w:rsidRPr="008867C0" w:rsidRDefault="000709D9" w:rsidP="000709D9">
            <w:pPr>
              <w:numPr>
                <w:ilvl w:val="0"/>
                <w:numId w:val="4"/>
              </w:numPr>
              <w:rPr>
                <w:rFonts w:ascii="Arial" w:hAnsi="Arial" w:cs="Arial"/>
                <w:sz w:val="20"/>
                <w:szCs w:val="20"/>
                <w:lang w:val="en-NZ"/>
              </w:rPr>
            </w:pPr>
            <w:r w:rsidRPr="008867C0">
              <w:rPr>
                <w:rFonts w:ascii="Arial" w:hAnsi="Arial" w:cs="Arial"/>
                <w:sz w:val="20"/>
                <w:szCs w:val="20"/>
                <w:lang w:val="en-NZ"/>
              </w:rPr>
              <w:t>arrange for the delivery of on and off-job training (including developing training packages for employers)</w:t>
            </w:r>
          </w:p>
          <w:p w:rsidR="000709D9" w:rsidRPr="008867C0" w:rsidRDefault="000709D9" w:rsidP="000709D9">
            <w:pPr>
              <w:numPr>
                <w:ilvl w:val="0"/>
                <w:numId w:val="4"/>
              </w:numPr>
              <w:rPr>
                <w:rFonts w:ascii="Arial" w:hAnsi="Arial" w:cs="Arial"/>
                <w:sz w:val="20"/>
                <w:szCs w:val="20"/>
                <w:lang w:val="en-NZ"/>
              </w:rPr>
            </w:pPr>
            <w:r w:rsidRPr="008867C0">
              <w:rPr>
                <w:rFonts w:ascii="Arial" w:hAnsi="Arial" w:cs="Arial"/>
                <w:sz w:val="20"/>
                <w:szCs w:val="20"/>
                <w:lang w:val="en-NZ"/>
              </w:rPr>
              <w:t>arrange for the assessment of trainees and</w:t>
            </w:r>
          </w:p>
          <w:p w:rsidR="000709D9" w:rsidRPr="008867C0" w:rsidRDefault="000709D9" w:rsidP="000709D9">
            <w:pPr>
              <w:numPr>
                <w:ilvl w:val="0"/>
                <w:numId w:val="4"/>
              </w:numPr>
              <w:rPr>
                <w:rFonts w:ascii="Arial" w:hAnsi="Arial" w:cs="Arial"/>
                <w:sz w:val="20"/>
                <w:szCs w:val="20"/>
                <w:lang w:val="en-NZ"/>
              </w:rPr>
            </w:pPr>
            <w:r w:rsidRPr="008867C0">
              <w:rPr>
                <w:rFonts w:ascii="Arial" w:hAnsi="Arial" w:cs="Arial"/>
                <w:sz w:val="20"/>
                <w:szCs w:val="20"/>
                <w:lang w:val="en-NZ"/>
              </w:rPr>
              <w:t>arrange the monitoring of quality training.</w:t>
            </w:r>
          </w:p>
        </w:tc>
        <w:tc>
          <w:tcPr>
            <w:tcW w:w="4479" w:type="dxa"/>
          </w:tcPr>
          <w:p w:rsidR="000709D9" w:rsidRPr="008867C0" w:rsidRDefault="00FF27EC" w:rsidP="000709D9">
            <w:pPr>
              <w:rPr>
                <w:rFonts w:ascii="Arial" w:hAnsi="Arial" w:cs="Arial"/>
                <w:sz w:val="20"/>
                <w:szCs w:val="20"/>
                <w:lang w:val="en-NZ"/>
              </w:rPr>
            </w:pPr>
            <w:hyperlink r:id="rId12" w:history="1">
              <w:r w:rsidR="00657B8E" w:rsidRPr="008867C0">
                <w:rPr>
                  <w:rStyle w:val="Hyperlink"/>
                  <w:rFonts w:ascii="Arial" w:hAnsi="Arial" w:cs="Arial"/>
                  <w:sz w:val="20"/>
                  <w:szCs w:val="20"/>
                  <w:lang w:val="en-NZ"/>
                </w:rPr>
                <w:t>http://www.itf.org.nz/</w:t>
              </w:r>
            </w:hyperlink>
          </w:p>
          <w:p w:rsidR="00657B8E" w:rsidRPr="008867C0" w:rsidRDefault="00657B8E" w:rsidP="000709D9">
            <w:pPr>
              <w:rPr>
                <w:rFonts w:ascii="Arial" w:hAnsi="Arial" w:cs="Arial"/>
                <w:sz w:val="20"/>
                <w:szCs w:val="20"/>
                <w:lang w:val="en-NZ"/>
              </w:rPr>
            </w:pPr>
          </w:p>
        </w:tc>
      </w:tr>
      <w:tr w:rsidR="008867C0" w:rsidRPr="008867C0" w:rsidTr="00F00FC9">
        <w:tc>
          <w:tcPr>
            <w:tcW w:w="2547" w:type="dxa"/>
          </w:tcPr>
          <w:p w:rsidR="008867C0" w:rsidRPr="008867C0" w:rsidRDefault="008867C0" w:rsidP="000709D9">
            <w:pPr>
              <w:rPr>
                <w:rFonts w:ascii="Arial" w:hAnsi="Arial" w:cs="Arial"/>
                <w:sz w:val="20"/>
                <w:szCs w:val="20"/>
                <w:lang w:val="en-NZ"/>
              </w:rPr>
            </w:pPr>
            <w:r>
              <w:rPr>
                <w:rFonts w:ascii="Arial" w:hAnsi="Arial" w:cs="Arial"/>
                <w:sz w:val="20"/>
                <w:szCs w:val="20"/>
                <w:lang w:val="en-NZ"/>
              </w:rPr>
              <w:t>Institute</w:t>
            </w:r>
            <w:r w:rsidR="002217A7">
              <w:rPr>
                <w:rFonts w:ascii="Arial" w:hAnsi="Arial" w:cs="Arial"/>
                <w:sz w:val="20"/>
                <w:szCs w:val="20"/>
                <w:lang w:val="en-NZ"/>
              </w:rPr>
              <w:t>s</w:t>
            </w:r>
            <w:r>
              <w:rPr>
                <w:rFonts w:ascii="Arial" w:hAnsi="Arial" w:cs="Arial"/>
                <w:sz w:val="20"/>
                <w:szCs w:val="20"/>
                <w:lang w:val="en-NZ"/>
              </w:rPr>
              <w:t xml:space="preserve"> of Technology and Polytech</w:t>
            </w:r>
            <w:r w:rsidR="002217A7">
              <w:rPr>
                <w:rFonts w:ascii="Arial" w:hAnsi="Arial" w:cs="Arial"/>
                <w:sz w:val="20"/>
                <w:szCs w:val="20"/>
                <w:lang w:val="en-NZ"/>
              </w:rPr>
              <w:t>nics</w:t>
            </w:r>
            <w:r>
              <w:rPr>
                <w:rFonts w:ascii="Arial" w:hAnsi="Arial" w:cs="Arial"/>
                <w:sz w:val="20"/>
                <w:szCs w:val="20"/>
                <w:lang w:val="en-NZ"/>
              </w:rPr>
              <w:t xml:space="preserve"> (ITP)</w:t>
            </w:r>
          </w:p>
        </w:tc>
        <w:tc>
          <w:tcPr>
            <w:tcW w:w="7513" w:type="dxa"/>
          </w:tcPr>
          <w:p w:rsidR="008867C0" w:rsidRPr="008867C0" w:rsidRDefault="002217A7" w:rsidP="000709D9">
            <w:pPr>
              <w:rPr>
                <w:rFonts w:ascii="Arial" w:hAnsi="Arial" w:cs="Arial"/>
                <w:sz w:val="20"/>
                <w:szCs w:val="20"/>
                <w:lang w:val="en-NZ"/>
              </w:rPr>
            </w:pPr>
            <w:r>
              <w:rPr>
                <w:rFonts w:ascii="Arial" w:hAnsi="Arial" w:cs="Arial"/>
                <w:sz w:val="20"/>
                <w:szCs w:val="20"/>
                <w:lang w:val="en-NZ"/>
              </w:rPr>
              <w:t xml:space="preserve">Sometimes these organisations are referred to as ITP’s. </w:t>
            </w:r>
          </w:p>
        </w:tc>
        <w:tc>
          <w:tcPr>
            <w:tcW w:w="4479" w:type="dxa"/>
          </w:tcPr>
          <w:p w:rsidR="008867C0" w:rsidRPr="008867C0" w:rsidRDefault="008867C0" w:rsidP="000709D9">
            <w:pPr>
              <w:rPr>
                <w:rFonts w:ascii="Arial" w:hAnsi="Arial" w:cs="Arial"/>
                <w:sz w:val="20"/>
                <w:szCs w:val="20"/>
                <w:lang w:val="en-NZ"/>
              </w:rPr>
            </w:pPr>
          </w:p>
        </w:tc>
      </w:tr>
      <w:tr w:rsidR="00657B8E" w:rsidRPr="008867C0" w:rsidTr="00F00FC9">
        <w:tc>
          <w:tcPr>
            <w:tcW w:w="2547" w:type="dxa"/>
          </w:tcPr>
          <w:p w:rsidR="00657B8E" w:rsidRPr="008867C0" w:rsidRDefault="00AF3ED2" w:rsidP="00657B8E">
            <w:pPr>
              <w:rPr>
                <w:rFonts w:ascii="Arial" w:hAnsi="Arial" w:cs="Arial"/>
                <w:sz w:val="20"/>
                <w:szCs w:val="20"/>
                <w:lang w:val="en-NZ"/>
              </w:rPr>
            </w:pPr>
            <w:r w:rsidRPr="008867C0">
              <w:rPr>
                <w:rFonts w:ascii="Arial" w:hAnsi="Arial" w:cs="Arial"/>
                <w:sz w:val="20"/>
                <w:szCs w:val="20"/>
                <w:lang w:val="en-NZ"/>
              </w:rPr>
              <w:t>Māori</w:t>
            </w:r>
            <w:r w:rsidR="00657B8E" w:rsidRPr="008867C0">
              <w:rPr>
                <w:rFonts w:ascii="Arial" w:hAnsi="Arial" w:cs="Arial"/>
                <w:sz w:val="20"/>
                <w:szCs w:val="20"/>
                <w:lang w:val="en-NZ"/>
              </w:rPr>
              <w:t xml:space="preserve"> </w:t>
            </w:r>
            <w:proofErr w:type="spellStart"/>
            <w:r w:rsidR="00657B8E" w:rsidRPr="008867C0">
              <w:rPr>
                <w:rFonts w:ascii="Arial" w:hAnsi="Arial" w:cs="Arial"/>
                <w:sz w:val="20"/>
                <w:szCs w:val="20"/>
                <w:lang w:val="en-NZ"/>
              </w:rPr>
              <w:t>Pasifica</w:t>
            </w:r>
            <w:proofErr w:type="spellEnd"/>
            <w:r w:rsidR="00657B8E" w:rsidRPr="008867C0">
              <w:rPr>
                <w:rFonts w:ascii="Arial" w:hAnsi="Arial" w:cs="Arial"/>
                <w:sz w:val="20"/>
                <w:szCs w:val="20"/>
                <w:lang w:val="en-NZ"/>
              </w:rPr>
              <w:t xml:space="preserve"> Trades Training (MPTT)</w:t>
            </w:r>
          </w:p>
        </w:tc>
        <w:tc>
          <w:tcPr>
            <w:tcW w:w="7513" w:type="dxa"/>
          </w:tcPr>
          <w:p w:rsidR="00657B8E" w:rsidRPr="008867C0" w:rsidRDefault="00657B8E" w:rsidP="000709D9">
            <w:pPr>
              <w:rPr>
                <w:rFonts w:ascii="Arial" w:hAnsi="Arial" w:cs="Arial"/>
                <w:sz w:val="20"/>
                <w:szCs w:val="20"/>
                <w:lang w:val="en-NZ"/>
              </w:rPr>
            </w:pPr>
            <w:r w:rsidRPr="008867C0">
              <w:rPr>
                <w:rFonts w:ascii="Arial" w:hAnsi="Arial" w:cs="Arial"/>
                <w:sz w:val="20"/>
                <w:szCs w:val="20"/>
                <w:lang w:val="en-NZ"/>
              </w:rPr>
              <w:t>The key objective of the MPTT initiative is to increase access for Māori and Pasifika learners (16-40yrs) to vocational training and pre-employment training. This enables learners to develop the skills for sustainable employment and contributes to better employment outcomes.</w:t>
            </w:r>
          </w:p>
        </w:tc>
        <w:tc>
          <w:tcPr>
            <w:tcW w:w="4479" w:type="dxa"/>
          </w:tcPr>
          <w:p w:rsidR="00657B8E" w:rsidRPr="008867C0" w:rsidRDefault="00FF27EC" w:rsidP="000709D9">
            <w:pPr>
              <w:rPr>
                <w:rFonts w:ascii="Arial" w:hAnsi="Arial" w:cs="Arial"/>
                <w:sz w:val="20"/>
                <w:szCs w:val="20"/>
                <w:lang w:val="en-NZ"/>
              </w:rPr>
            </w:pPr>
            <w:hyperlink r:id="rId13" w:history="1">
              <w:r w:rsidR="00657B8E" w:rsidRPr="008867C0">
                <w:rPr>
                  <w:rStyle w:val="Hyperlink"/>
                  <w:rFonts w:ascii="Arial" w:hAnsi="Arial" w:cs="Arial"/>
                  <w:sz w:val="20"/>
                  <w:szCs w:val="20"/>
                  <w:lang w:val="en-NZ"/>
                </w:rPr>
                <w:t>http://www.tec.govt.nz/Funding/Fund-finder/Maori-and-Pasifika-Trades-Training-/</w:t>
              </w:r>
            </w:hyperlink>
          </w:p>
          <w:p w:rsidR="00657B8E" w:rsidRPr="008867C0" w:rsidRDefault="00657B8E" w:rsidP="000709D9">
            <w:pPr>
              <w:rPr>
                <w:rFonts w:ascii="Arial" w:hAnsi="Arial" w:cs="Arial"/>
                <w:sz w:val="20"/>
                <w:szCs w:val="20"/>
                <w:lang w:val="en-NZ"/>
              </w:rPr>
            </w:pPr>
          </w:p>
        </w:tc>
      </w:tr>
      <w:tr w:rsidR="00657B8E" w:rsidRPr="008867C0" w:rsidTr="00F00FC9">
        <w:tc>
          <w:tcPr>
            <w:tcW w:w="2547" w:type="dxa"/>
          </w:tcPr>
          <w:p w:rsidR="00657B8E" w:rsidRPr="008867C0" w:rsidRDefault="00657B8E" w:rsidP="00657B8E">
            <w:pPr>
              <w:rPr>
                <w:rFonts w:ascii="Arial" w:hAnsi="Arial" w:cs="Arial"/>
                <w:sz w:val="20"/>
                <w:szCs w:val="20"/>
                <w:lang w:val="en-NZ"/>
              </w:rPr>
            </w:pPr>
            <w:r w:rsidRPr="008867C0">
              <w:rPr>
                <w:rFonts w:ascii="Arial" w:hAnsi="Arial" w:cs="Arial"/>
                <w:sz w:val="20"/>
                <w:szCs w:val="20"/>
                <w:lang w:val="en-NZ"/>
              </w:rPr>
              <w:t>Mayor’s Taskforce for Jobs (MTFJ)</w:t>
            </w:r>
          </w:p>
        </w:tc>
        <w:tc>
          <w:tcPr>
            <w:tcW w:w="7513" w:type="dxa"/>
          </w:tcPr>
          <w:p w:rsidR="00657B8E" w:rsidRPr="008867C0" w:rsidRDefault="00657B8E" w:rsidP="000709D9">
            <w:pPr>
              <w:rPr>
                <w:rFonts w:ascii="Arial" w:hAnsi="Arial" w:cs="Arial"/>
                <w:sz w:val="20"/>
                <w:szCs w:val="20"/>
                <w:lang w:val="en-NZ"/>
              </w:rPr>
            </w:pPr>
            <w:r w:rsidRPr="008867C0">
              <w:rPr>
                <w:rFonts w:ascii="Arial" w:hAnsi="Arial" w:cs="Arial"/>
                <w:sz w:val="20"/>
                <w:szCs w:val="20"/>
              </w:rPr>
              <w:t>The Mayors Taskforce For Jobs is a nationwide network of New Zealand’s Mayors, working together towards the vision of all young people under 25 being engaged in appropriate education, training, work or other positive activity in their communities.</w:t>
            </w:r>
            <w:r w:rsidR="008867C0">
              <w:rPr>
                <w:rFonts w:ascii="Arial" w:hAnsi="Arial" w:cs="Arial"/>
                <w:sz w:val="20"/>
                <w:szCs w:val="20"/>
              </w:rPr>
              <w:t xml:space="preserve"> Active in STDC, SDC but not NPDC. </w:t>
            </w:r>
          </w:p>
        </w:tc>
        <w:tc>
          <w:tcPr>
            <w:tcW w:w="4479" w:type="dxa"/>
          </w:tcPr>
          <w:p w:rsidR="00657B8E" w:rsidRDefault="00FF27EC" w:rsidP="000709D9">
            <w:pPr>
              <w:rPr>
                <w:rFonts w:ascii="Arial" w:hAnsi="Arial" w:cs="Arial"/>
                <w:sz w:val="20"/>
                <w:szCs w:val="20"/>
                <w:lang w:val="en-NZ"/>
              </w:rPr>
            </w:pPr>
            <w:hyperlink r:id="rId14" w:history="1">
              <w:r w:rsidR="008867C0" w:rsidRPr="001F7CB9">
                <w:rPr>
                  <w:rStyle w:val="Hyperlink"/>
                  <w:rFonts w:ascii="Arial" w:hAnsi="Arial" w:cs="Arial"/>
                  <w:sz w:val="20"/>
                  <w:szCs w:val="20"/>
                  <w:lang w:val="en-NZ"/>
                </w:rPr>
                <w:t>http://www.mayorstaskforceforjobs.co.nz/home/about-us/</w:t>
              </w:r>
            </w:hyperlink>
          </w:p>
          <w:p w:rsidR="008867C0" w:rsidRPr="008867C0" w:rsidRDefault="008867C0" w:rsidP="000709D9">
            <w:pPr>
              <w:rPr>
                <w:rFonts w:ascii="Arial" w:hAnsi="Arial" w:cs="Arial"/>
                <w:sz w:val="20"/>
                <w:szCs w:val="20"/>
                <w:lang w:val="en-NZ"/>
              </w:rPr>
            </w:pPr>
          </w:p>
        </w:tc>
      </w:tr>
      <w:tr w:rsidR="008867C0" w:rsidRPr="008867C0" w:rsidTr="00F00FC9">
        <w:tc>
          <w:tcPr>
            <w:tcW w:w="2547" w:type="dxa"/>
          </w:tcPr>
          <w:p w:rsidR="003259A4" w:rsidRDefault="008867C0" w:rsidP="00657B8E">
            <w:pPr>
              <w:rPr>
                <w:rFonts w:ascii="Arial" w:hAnsi="Arial" w:cs="Arial"/>
                <w:sz w:val="20"/>
                <w:szCs w:val="20"/>
                <w:lang w:val="en-NZ"/>
              </w:rPr>
            </w:pPr>
            <w:r>
              <w:rPr>
                <w:rFonts w:ascii="Arial" w:hAnsi="Arial" w:cs="Arial"/>
                <w:sz w:val="20"/>
                <w:szCs w:val="20"/>
                <w:lang w:val="en-NZ"/>
              </w:rPr>
              <w:t xml:space="preserve">Ministry of Business Innovation and Employment </w:t>
            </w:r>
          </w:p>
          <w:p w:rsidR="008867C0" w:rsidRPr="008867C0" w:rsidRDefault="008867C0" w:rsidP="00657B8E">
            <w:pPr>
              <w:rPr>
                <w:rFonts w:ascii="Arial" w:hAnsi="Arial" w:cs="Arial"/>
                <w:sz w:val="20"/>
                <w:szCs w:val="20"/>
                <w:lang w:val="en-NZ"/>
              </w:rPr>
            </w:pPr>
            <w:r>
              <w:rPr>
                <w:rFonts w:ascii="Arial" w:hAnsi="Arial" w:cs="Arial"/>
                <w:sz w:val="20"/>
                <w:szCs w:val="20"/>
                <w:lang w:val="en-NZ"/>
              </w:rPr>
              <w:t>(MBIE)</w:t>
            </w:r>
          </w:p>
        </w:tc>
        <w:tc>
          <w:tcPr>
            <w:tcW w:w="7513" w:type="dxa"/>
          </w:tcPr>
          <w:p w:rsidR="008867C0" w:rsidRPr="008867C0" w:rsidRDefault="008867C0" w:rsidP="000709D9">
            <w:pPr>
              <w:rPr>
                <w:rFonts w:ascii="Arial" w:hAnsi="Arial" w:cs="Arial"/>
                <w:sz w:val="20"/>
                <w:szCs w:val="20"/>
              </w:rPr>
            </w:pPr>
          </w:p>
        </w:tc>
        <w:tc>
          <w:tcPr>
            <w:tcW w:w="4479" w:type="dxa"/>
          </w:tcPr>
          <w:p w:rsidR="008867C0" w:rsidRDefault="00FF27EC" w:rsidP="000709D9">
            <w:pPr>
              <w:rPr>
                <w:rFonts w:ascii="Arial" w:hAnsi="Arial" w:cs="Arial"/>
                <w:sz w:val="20"/>
                <w:szCs w:val="20"/>
                <w:lang w:val="en-NZ"/>
              </w:rPr>
            </w:pPr>
            <w:hyperlink r:id="rId15" w:history="1">
              <w:r w:rsidR="008867C0" w:rsidRPr="001F7CB9">
                <w:rPr>
                  <w:rStyle w:val="Hyperlink"/>
                  <w:rFonts w:ascii="Arial" w:hAnsi="Arial" w:cs="Arial"/>
                  <w:sz w:val="20"/>
                  <w:szCs w:val="20"/>
                  <w:lang w:val="en-NZ"/>
                </w:rPr>
                <w:t>http://www.mbie.govt.nz/</w:t>
              </w:r>
            </w:hyperlink>
          </w:p>
          <w:p w:rsidR="008867C0" w:rsidRDefault="008867C0" w:rsidP="000709D9">
            <w:pPr>
              <w:rPr>
                <w:rFonts w:ascii="Arial" w:hAnsi="Arial" w:cs="Arial"/>
                <w:sz w:val="20"/>
                <w:szCs w:val="20"/>
                <w:lang w:val="en-NZ"/>
              </w:rPr>
            </w:pPr>
          </w:p>
          <w:p w:rsidR="008867C0" w:rsidRPr="008867C0" w:rsidRDefault="008867C0" w:rsidP="008867C0">
            <w:pPr>
              <w:ind w:firstLine="720"/>
              <w:rPr>
                <w:rFonts w:ascii="Arial" w:hAnsi="Arial" w:cs="Arial"/>
                <w:sz w:val="20"/>
                <w:szCs w:val="20"/>
                <w:lang w:val="en-NZ"/>
              </w:rPr>
            </w:pPr>
          </w:p>
        </w:tc>
      </w:tr>
      <w:tr w:rsidR="008867C0" w:rsidRPr="008867C0" w:rsidTr="00F00FC9">
        <w:tc>
          <w:tcPr>
            <w:tcW w:w="2547" w:type="dxa"/>
          </w:tcPr>
          <w:p w:rsidR="008867C0" w:rsidRDefault="008867C0" w:rsidP="00657B8E">
            <w:pPr>
              <w:rPr>
                <w:rFonts w:ascii="Arial" w:hAnsi="Arial" w:cs="Arial"/>
                <w:sz w:val="20"/>
                <w:szCs w:val="20"/>
                <w:lang w:val="en-NZ"/>
              </w:rPr>
            </w:pPr>
            <w:r>
              <w:rPr>
                <w:rFonts w:ascii="Arial" w:hAnsi="Arial" w:cs="Arial"/>
                <w:sz w:val="20"/>
                <w:szCs w:val="20"/>
                <w:lang w:val="en-NZ"/>
              </w:rPr>
              <w:t>Ministry of Education (</w:t>
            </w:r>
            <w:proofErr w:type="spellStart"/>
            <w:r>
              <w:rPr>
                <w:rFonts w:ascii="Arial" w:hAnsi="Arial" w:cs="Arial"/>
                <w:sz w:val="20"/>
                <w:szCs w:val="20"/>
                <w:lang w:val="en-NZ"/>
              </w:rPr>
              <w:t>MoE</w:t>
            </w:r>
            <w:proofErr w:type="spellEnd"/>
            <w:r>
              <w:rPr>
                <w:rFonts w:ascii="Arial" w:hAnsi="Arial" w:cs="Arial"/>
                <w:sz w:val="20"/>
                <w:szCs w:val="20"/>
                <w:lang w:val="en-NZ"/>
              </w:rPr>
              <w:t>)</w:t>
            </w:r>
          </w:p>
        </w:tc>
        <w:tc>
          <w:tcPr>
            <w:tcW w:w="7513" w:type="dxa"/>
          </w:tcPr>
          <w:p w:rsidR="008867C0" w:rsidRPr="008867C0" w:rsidRDefault="008867C0" w:rsidP="000709D9">
            <w:pPr>
              <w:rPr>
                <w:rFonts w:ascii="Arial" w:hAnsi="Arial" w:cs="Arial"/>
                <w:sz w:val="20"/>
                <w:szCs w:val="20"/>
              </w:rPr>
            </w:pPr>
          </w:p>
        </w:tc>
        <w:tc>
          <w:tcPr>
            <w:tcW w:w="4479" w:type="dxa"/>
          </w:tcPr>
          <w:p w:rsidR="008867C0" w:rsidRDefault="00FF27EC" w:rsidP="000709D9">
            <w:pPr>
              <w:rPr>
                <w:rFonts w:ascii="Arial" w:hAnsi="Arial" w:cs="Arial"/>
                <w:sz w:val="20"/>
                <w:szCs w:val="20"/>
                <w:lang w:val="en-NZ"/>
              </w:rPr>
            </w:pPr>
            <w:hyperlink r:id="rId16" w:history="1">
              <w:r w:rsidR="008867C0" w:rsidRPr="001F7CB9">
                <w:rPr>
                  <w:rStyle w:val="Hyperlink"/>
                  <w:rFonts w:ascii="Arial" w:hAnsi="Arial" w:cs="Arial"/>
                  <w:sz w:val="20"/>
                  <w:szCs w:val="20"/>
                  <w:lang w:val="en-NZ"/>
                </w:rPr>
                <w:t>http://www.education.govt.nz/</w:t>
              </w:r>
            </w:hyperlink>
          </w:p>
          <w:p w:rsidR="008867C0" w:rsidRDefault="008867C0" w:rsidP="000709D9">
            <w:pPr>
              <w:rPr>
                <w:rFonts w:ascii="Arial" w:hAnsi="Arial" w:cs="Arial"/>
                <w:sz w:val="20"/>
                <w:szCs w:val="20"/>
                <w:lang w:val="en-NZ"/>
              </w:rPr>
            </w:pPr>
          </w:p>
        </w:tc>
      </w:tr>
      <w:tr w:rsidR="008B346E" w:rsidRPr="008867C0" w:rsidTr="00F00FC9">
        <w:tc>
          <w:tcPr>
            <w:tcW w:w="2547" w:type="dxa"/>
          </w:tcPr>
          <w:p w:rsidR="008B346E" w:rsidRDefault="008B346E" w:rsidP="00657B8E">
            <w:pPr>
              <w:rPr>
                <w:rFonts w:ascii="Arial" w:hAnsi="Arial" w:cs="Arial"/>
                <w:sz w:val="20"/>
                <w:szCs w:val="20"/>
                <w:lang w:val="en-NZ"/>
              </w:rPr>
            </w:pPr>
            <w:r>
              <w:rPr>
                <w:rFonts w:ascii="Arial" w:hAnsi="Arial" w:cs="Arial"/>
                <w:sz w:val="20"/>
                <w:szCs w:val="20"/>
              </w:rPr>
              <w:t>Y</w:t>
            </w:r>
            <w:r w:rsidRPr="008B346E">
              <w:rPr>
                <w:rFonts w:ascii="Arial" w:hAnsi="Arial" w:cs="Arial"/>
                <w:sz w:val="20"/>
                <w:szCs w:val="20"/>
              </w:rPr>
              <w:t>outh (aged 15–24 years) who are not in employment, education, or training (NEET)</w:t>
            </w:r>
            <w:r>
              <w:rPr>
                <w:rFonts w:ascii="Arial" w:hAnsi="Arial" w:cs="Arial"/>
                <w:sz w:val="20"/>
                <w:szCs w:val="20"/>
                <w:lang w:val="en-NZ"/>
              </w:rPr>
              <w:t xml:space="preserve"> </w:t>
            </w:r>
          </w:p>
        </w:tc>
        <w:tc>
          <w:tcPr>
            <w:tcW w:w="7513" w:type="dxa"/>
          </w:tcPr>
          <w:p w:rsidR="008B346E" w:rsidRPr="008867C0" w:rsidRDefault="008B346E" w:rsidP="000709D9">
            <w:pPr>
              <w:rPr>
                <w:rFonts w:ascii="Arial" w:hAnsi="Arial" w:cs="Arial"/>
                <w:sz w:val="20"/>
                <w:szCs w:val="20"/>
              </w:rPr>
            </w:pPr>
          </w:p>
        </w:tc>
        <w:tc>
          <w:tcPr>
            <w:tcW w:w="4479" w:type="dxa"/>
          </w:tcPr>
          <w:p w:rsidR="008B346E" w:rsidRDefault="008B346E" w:rsidP="000709D9"/>
        </w:tc>
      </w:tr>
      <w:tr w:rsidR="008867C0" w:rsidRPr="008867C0" w:rsidTr="00F00FC9">
        <w:tc>
          <w:tcPr>
            <w:tcW w:w="2547" w:type="dxa"/>
          </w:tcPr>
          <w:p w:rsidR="008867C0" w:rsidRDefault="008867C0" w:rsidP="00657B8E">
            <w:pPr>
              <w:rPr>
                <w:rFonts w:ascii="Arial" w:hAnsi="Arial" w:cs="Arial"/>
                <w:sz w:val="20"/>
                <w:szCs w:val="20"/>
                <w:lang w:val="en-NZ"/>
              </w:rPr>
            </w:pPr>
            <w:r>
              <w:rPr>
                <w:rFonts w:ascii="Arial" w:hAnsi="Arial" w:cs="Arial"/>
                <w:sz w:val="20"/>
                <w:szCs w:val="20"/>
                <w:lang w:val="en-NZ"/>
              </w:rPr>
              <w:t>National Certificate of Educational Achievement (NCEA)</w:t>
            </w:r>
          </w:p>
        </w:tc>
        <w:tc>
          <w:tcPr>
            <w:tcW w:w="7513" w:type="dxa"/>
          </w:tcPr>
          <w:p w:rsidR="008867C0" w:rsidRPr="008867C0" w:rsidRDefault="008867C0" w:rsidP="000709D9">
            <w:pPr>
              <w:rPr>
                <w:rFonts w:ascii="Arial" w:hAnsi="Arial" w:cs="Arial"/>
                <w:sz w:val="20"/>
                <w:szCs w:val="20"/>
              </w:rPr>
            </w:pPr>
            <w:r>
              <w:rPr>
                <w:rFonts w:ascii="Arial" w:hAnsi="Arial" w:cs="Arial"/>
                <w:sz w:val="20"/>
                <w:szCs w:val="20"/>
              </w:rPr>
              <w:t xml:space="preserve">New Zealand’s secondary school qualification administered by New Zealand Qualifications Authority (NZQA). NZQA requires students to achieve 80 </w:t>
            </w:r>
            <w:r>
              <w:rPr>
                <w:rFonts w:ascii="Arial" w:hAnsi="Arial" w:cs="Arial"/>
                <w:sz w:val="20"/>
                <w:szCs w:val="20"/>
              </w:rPr>
              <w:lastRenderedPageBreak/>
              <w:t xml:space="preserve">credits at each of Level 1, 2 and 3 via various forms of assessments. Can also be obtained in a PTE or ITP. </w:t>
            </w:r>
          </w:p>
        </w:tc>
        <w:tc>
          <w:tcPr>
            <w:tcW w:w="4479" w:type="dxa"/>
          </w:tcPr>
          <w:p w:rsidR="008867C0" w:rsidRDefault="00FF27EC" w:rsidP="000709D9">
            <w:pPr>
              <w:rPr>
                <w:rFonts w:ascii="Arial" w:hAnsi="Arial" w:cs="Arial"/>
                <w:sz w:val="20"/>
                <w:szCs w:val="20"/>
                <w:lang w:val="en-NZ"/>
              </w:rPr>
            </w:pPr>
            <w:hyperlink r:id="rId17" w:history="1">
              <w:r w:rsidR="008867C0" w:rsidRPr="001F7CB9">
                <w:rPr>
                  <w:rStyle w:val="Hyperlink"/>
                  <w:rFonts w:ascii="Arial" w:hAnsi="Arial" w:cs="Arial"/>
                  <w:sz w:val="20"/>
                  <w:szCs w:val="20"/>
                  <w:lang w:val="en-NZ"/>
                </w:rPr>
                <w:t>http://www.nzqa.govt.nz/qualifications-standards/qualifications/ncea/understanding-ncea/how-ncea-works/</w:t>
              </w:r>
            </w:hyperlink>
          </w:p>
          <w:p w:rsidR="008867C0" w:rsidRDefault="008867C0" w:rsidP="000709D9">
            <w:pPr>
              <w:rPr>
                <w:rFonts w:ascii="Arial" w:hAnsi="Arial" w:cs="Arial"/>
                <w:sz w:val="20"/>
                <w:szCs w:val="20"/>
                <w:lang w:val="en-NZ"/>
              </w:rPr>
            </w:pPr>
          </w:p>
        </w:tc>
      </w:tr>
      <w:tr w:rsidR="008867C0" w:rsidRPr="008867C0" w:rsidTr="00F00FC9">
        <w:tc>
          <w:tcPr>
            <w:tcW w:w="2547" w:type="dxa"/>
          </w:tcPr>
          <w:p w:rsidR="008867C0" w:rsidRDefault="008867C0" w:rsidP="00657B8E">
            <w:pPr>
              <w:rPr>
                <w:rFonts w:ascii="Arial" w:hAnsi="Arial" w:cs="Arial"/>
                <w:sz w:val="20"/>
                <w:szCs w:val="20"/>
                <w:lang w:val="en-NZ"/>
              </w:rPr>
            </w:pPr>
            <w:r>
              <w:rPr>
                <w:rFonts w:ascii="Arial" w:hAnsi="Arial" w:cs="Arial"/>
                <w:sz w:val="20"/>
                <w:szCs w:val="20"/>
                <w:lang w:val="en-NZ"/>
              </w:rPr>
              <w:lastRenderedPageBreak/>
              <w:t>Occupational Outlook</w:t>
            </w:r>
          </w:p>
        </w:tc>
        <w:tc>
          <w:tcPr>
            <w:tcW w:w="7513" w:type="dxa"/>
          </w:tcPr>
          <w:p w:rsidR="003259A4" w:rsidRDefault="008867C0" w:rsidP="000709D9">
            <w:pPr>
              <w:rPr>
                <w:rFonts w:ascii="Arial" w:hAnsi="Arial" w:cs="Arial"/>
                <w:sz w:val="20"/>
                <w:szCs w:val="20"/>
              </w:rPr>
            </w:pPr>
            <w:r>
              <w:rPr>
                <w:rFonts w:ascii="Arial" w:hAnsi="Arial" w:cs="Arial"/>
                <w:sz w:val="20"/>
                <w:szCs w:val="20"/>
              </w:rPr>
              <w:t>A website and ap</w:t>
            </w:r>
            <w:r w:rsidR="00AF3ED2">
              <w:rPr>
                <w:rFonts w:ascii="Arial" w:hAnsi="Arial" w:cs="Arial"/>
                <w:sz w:val="20"/>
                <w:szCs w:val="20"/>
              </w:rPr>
              <w:t>p</w:t>
            </w:r>
            <w:r>
              <w:rPr>
                <w:rFonts w:ascii="Arial" w:hAnsi="Arial" w:cs="Arial"/>
                <w:sz w:val="20"/>
                <w:szCs w:val="20"/>
              </w:rPr>
              <w:t xml:space="preserve"> from MBIE which informs users of current occupation income, training requirements/fees and job prospects.</w:t>
            </w:r>
          </w:p>
        </w:tc>
        <w:tc>
          <w:tcPr>
            <w:tcW w:w="4479" w:type="dxa"/>
          </w:tcPr>
          <w:p w:rsidR="003259A4" w:rsidRDefault="00FF27EC" w:rsidP="000709D9">
            <w:pPr>
              <w:rPr>
                <w:rFonts w:ascii="Arial" w:hAnsi="Arial" w:cs="Arial"/>
                <w:sz w:val="20"/>
                <w:szCs w:val="20"/>
                <w:lang w:val="en-NZ"/>
              </w:rPr>
            </w:pPr>
            <w:hyperlink r:id="rId18" w:history="1">
              <w:r w:rsidR="003259A4" w:rsidRPr="001F7CB9">
                <w:rPr>
                  <w:rStyle w:val="Hyperlink"/>
                  <w:rFonts w:ascii="Arial" w:hAnsi="Arial" w:cs="Arial"/>
                  <w:sz w:val="20"/>
                  <w:szCs w:val="20"/>
                  <w:lang w:val="en-NZ"/>
                </w:rPr>
                <w:t>http://www.mbie.govt.nz/info-services/employment-skills/labour-market-reports/occupation-outlook</w:t>
              </w:r>
            </w:hyperlink>
          </w:p>
        </w:tc>
      </w:tr>
      <w:tr w:rsidR="003259A4" w:rsidRPr="008867C0" w:rsidTr="00F00FC9">
        <w:tc>
          <w:tcPr>
            <w:tcW w:w="2547" w:type="dxa"/>
          </w:tcPr>
          <w:p w:rsidR="003259A4" w:rsidRDefault="003259A4" w:rsidP="00657B8E">
            <w:pPr>
              <w:rPr>
                <w:rFonts w:ascii="Arial" w:hAnsi="Arial" w:cs="Arial"/>
                <w:sz w:val="20"/>
                <w:szCs w:val="20"/>
                <w:lang w:val="en-NZ"/>
              </w:rPr>
            </w:pPr>
            <w:r>
              <w:rPr>
                <w:rFonts w:ascii="Arial" w:hAnsi="Arial" w:cs="Arial"/>
                <w:sz w:val="20"/>
                <w:szCs w:val="20"/>
                <w:lang w:val="en-NZ"/>
              </w:rPr>
              <w:t>Private Training Establishment (PTE)</w:t>
            </w:r>
          </w:p>
        </w:tc>
        <w:tc>
          <w:tcPr>
            <w:tcW w:w="7513" w:type="dxa"/>
          </w:tcPr>
          <w:p w:rsidR="003259A4" w:rsidRDefault="003259A4" w:rsidP="000709D9">
            <w:pPr>
              <w:rPr>
                <w:rFonts w:ascii="Arial" w:hAnsi="Arial" w:cs="Arial"/>
                <w:sz w:val="20"/>
                <w:szCs w:val="20"/>
              </w:rPr>
            </w:pPr>
            <w:r w:rsidRPr="003259A4">
              <w:rPr>
                <w:rFonts w:ascii="Arial" w:hAnsi="Arial" w:cs="Arial"/>
                <w:sz w:val="20"/>
                <w:szCs w:val="20"/>
              </w:rPr>
              <w:t>In addition to universities and polytechnics, there are a number of private colleges in New Zealand. These institutions often specialise in a specific industry or area of study, such as creative arts or tourism and hospitality</w:t>
            </w:r>
            <w:r>
              <w:rPr>
                <w:rFonts w:ascii="Arial" w:hAnsi="Arial" w:cs="Arial"/>
                <w:sz w:val="20"/>
                <w:szCs w:val="20"/>
              </w:rPr>
              <w:t>. Taranaki’s association of PTE’s is Taranaki Tertiary Providers (TTP)</w:t>
            </w:r>
          </w:p>
        </w:tc>
        <w:tc>
          <w:tcPr>
            <w:tcW w:w="4479" w:type="dxa"/>
          </w:tcPr>
          <w:p w:rsidR="003259A4" w:rsidRDefault="00FF27EC" w:rsidP="000709D9">
            <w:pPr>
              <w:rPr>
                <w:rFonts w:ascii="Arial" w:hAnsi="Arial" w:cs="Arial"/>
                <w:sz w:val="20"/>
                <w:szCs w:val="20"/>
                <w:lang w:val="en-NZ"/>
              </w:rPr>
            </w:pPr>
            <w:hyperlink r:id="rId19" w:history="1">
              <w:r w:rsidR="003259A4" w:rsidRPr="001F7CB9">
                <w:rPr>
                  <w:rStyle w:val="Hyperlink"/>
                  <w:rFonts w:ascii="Arial" w:hAnsi="Arial" w:cs="Arial"/>
                  <w:sz w:val="20"/>
                  <w:szCs w:val="20"/>
                  <w:lang w:val="en-NZ"/>
                </w:rPr>
                <w:t>http://www.gostudynewzealand.com/find-an-institution/private-training-establishments-new-zealand/</w:t>
              </w:r>
            </w:hyperlink>
          </w:p>
          <w:p w:rsidR="003259A4" w:rsidRDefault="003259A4" w:rsidP="000709D9">
            <w:pPr>
              <w:rPr>
                <w:rFonts w:ascii="Arial" w:hAnsi="Arial" w:cs="Arial"/>
                <w:sz w:val="20"/>
                <w:szCs w:val="20"/>
                <w:lang w:val="en-NZ"/>
              </w:rPr>
            </w:pPr>
          </w:p>
        </w:tc>
      </w:tr>
      <w:tr w:rsidR="003259A4" w:rsidRPr="008867C0" w:rsidTr="00F00FC9">
        <w:tc>
          <w:tcPr>
            <w:tcW w:w="2547" w:type="dxa"/>
          </w:tcPr>
          <w:p w:rsidR="003259A4" w:rsidRDefault="003259A4" w:rsidP="00657B8E">
            <w:pPr>
              <w:rPr>
                <w:rFonts w:ascii="Arial" w:hAnsi="Arial" w:cs="Arial"/>
                <w:sz w:val="20"/>
                <w:szCs w:val="20"/>
                <w:lang w:val="en-NZ"/>
              </w:rPr>
            </w:pPr>
            <w:r>
              <w:rPr>
                <w:rFonts w:ascii="Arial" w:hAnsi="Arial" w:cs="Arial"/>
                <w:sz w:val="20"/>
                <w:szCs w:val="20"/>
                <w:lang w:val="en-NZ"/>
              </w:rPr>
              <w:t>Secondary Tertiary Alignment Resource</w:t>
            </w:r>
          </w:p>
          <w:p w:rsidR="003259A4" w:rsidRDefault="003259A4" w:rsidP="00657B8E">
            <w:pPr>
              <w:rPr>
                <w:rFonts w:ascii="Arial" w:hAnsi="Arial" w:cs="Arial"/>
                <w:sz w:val="20"/>
                <w:szCs w:val="20"/>
                <w:lang w:val="en-NZ"/>
              </w:rPr>
            </w:pPr>
            <w:r>
              <w:rPr>
                <w:rFonts w:ascii="Arial" w:hAnsi="Arial" w:cs="Arial"/>
                <w:sz w:val="20"/>
                <w:szCs w:val="20"/>
                <w:lang w:val="en-NZ"/>
              </w:rPr>
              <w:t>(STAR)</w:t>
            </w:r>
          </w:p>
        </w:tc>
        <w:tc>
          <w:tcPr>
            <w:tcW w:w="7513" w:type="dxa"/>
          </w:tcPr>
          <w:p w:rsidR="003259A4" w:rsidRPr="003259A4" w:rsidRDefault="003259A4" w:rsidP="000709D9">
            <w:pPr>
              <w:rPr>
                <w:rFonts w:ascii="Arial" w:hAnsi="Arial" w:cs="Arial"/>
                <w:sz w:val="20"/>
                <w:szCs w:val="20"/>
              </w:rPr>
            </w:pPr>
            <w:r>
              <w:rPr>
                <w:rFonts w:ascii="Arial" w:hAnsi="Arial" w:cs="Arial"/>
                <w:sz w:val="20"/>
                <w:szCs w:val="20"/>
              </w:rPr>
              <w:t xml:space="preserve">A grant that is paid to schools that enables them to broaden their offerings to enhance secondary – tertiary transitions. For example, a welding course at WITT. </w:t>
            </w:r>
          </w:p>
        </w:tc>
        <w:tc>
          <w:tcPr>
            <w:tcW w:w="4479" w:type="dxa"/>
          </w:tcPr>
          <w:p w:rsidR="003259A4" w:rsidRDefault="00FF27EC" w:rsidP="000709D9">
            <w:pPr>
              <w:rPr>
                <w:rFonts w:ascii="Arial" w:hAnsi="Arial" w:cs="Arial"/>
                <w:sz w:val="20"/>
                <w:szCs w:val="20"/>
                <w:lang w:val="en-NZ"/>
              </w:rPr>
            </w:pPr>
            <w:hyperlink r:id="rId20" w:history="1">
              <w:r w:rsidR="003259A4" w:rsidRPr="001F7CB9">
                <w:rPr>
                  <w:rStyle w:val="Hyperlink"/>
                  <w:rFonts w:ascii="Arial" w:hAnsi="Arial" w:cs="Arial"/>
                  <w:sz w:val="20"/>
                  <w:szCs w:val="20"/>
                  <w:lang w:val="en-NZ"/>
                </w:rPr>
                <w:t>http://www.education.govt.nz/ministry-of-education/specific-initiatives/star/</w:t>
              </w:r>
            </w:hyperlink>
          </w:p>
          <w:p w:rsidR="003259A4" w:rsidRDefault="003259A4" w:rsidP="000709D9">
            <w:pPr>
              <w:rPr>
                <w:rFonts w:ascii="Arial" w:hAnsi="Arial" w:cs="Arial"/>
                <w:sz w:val="20"/>
                <w:szCs w:val="20"/>
                <w:lang w:val="en-NZ"/>
              </w:rPr>
            </w:pPr>
          </w:p>
        </w:tc>
      </w:tr>
      <w:tr w:rsidR="003259A4" w:rsidRPr="008867C0" w:rsidTr="00F00FC9">
        <w:tc>
          <w:tcPr>
            <w:tcW w:w="2547" w:type="dxa"/>
          </w:tcPr>
          <w:p w:rsidR="003259A4" w:rsidRDefault="00922843" w:rsidP="00657B8E">
            <w:pPr>
              <w:rPr>
                <w:rFonts w:ascii="Arial" w:hAnsi="Arial" w:cs="Arial"/>
                <w:sz w:val="20"/>
                <w:szCs w:val="20"/>
                <w:lang w:val="en-NZ"/>
              </w:rPr>
            </w:pPr>
            <w:r>
              <w:rPr>
                <w:rFonts w:ascii="Arial" w:hAnsi="Arial" w:cs="Arial"/>
                <w:sz w:val="20"/>
                <w:szCs w:val="20"/>
                <w:lang w:val="en-NZ"/>
              </w:rPr>
              <w:t>Taranaki Electricity Trust (TET)</w:t>
            </w:r>
          </w:p>
        </w:tc>
        <w:tc>
          <w:tcPr>
            <w:tcW w:w="7513" w:type="dxa"/>
          </w:tcPr>
          <w:p w:rsidR="003259A4" w:rsidRDefault="00922843" w:rsidP="000709D9">
            <w:pPr>
              <w:rPr>
                <w:rFonts w:ascii="Arial" w:hAnsi="Arial" w:cs="Arial"/>
                <w:sz w:val="20"/>
                <w:szCs w:val="20"/>
              </w:rPr>
            </w:pPr>
            <w:r>
              <w:rPr>
                <w:rFonts w:ascii="Arial" w:hAnsi="Arial" w:cs="Arial"/>
                <w:sz w:val="20"/>
                <w:szCs w:val="20"/>
              </w:rPr>
              <w:t>Makes grants and pays scholarships to students in its territorial area (</w:t>
            </w:r>
            <w:proofErr w:type="spellStart"/>
            <w:r>
              <w:rPr>
                <w:rFonts w:ascii="Arial" w:hAnsi="Arial" w:cs="Arial"/>
                <w:sz w:val="20"/>
                <w:szCs w:val="20"/>
              </w:rPr>
              <w:t>rohe</w:t>
            </w:r>
            <w:proofErr w:type="spellEnd"/>
            <w:r>
              <w:rPr>
                <w:rFonts w:ascii="Arial" w:hAnsi="Arial" w:cs="Arial"/>
                <w:sz w:val="20"/>
                <w:szCs w:val="20"/>
              </w:rPr>
              <w:t xml:space="preserve">) including East and South Eastern Taranaki. </w:t>
            </w:r>
          </w:p>
        </w:tc>
        <w:tc>
          <w:tcPr>
            <w:tcW w:w="4479" w:type="dxa"/>
          </w:tcPr>
          <w:p w:rsidR="003259A4" w:rsidRDefault="00FF27EC" w:rsidP="000709D9">
            <w:pPr>
              <w:rPr>
                <w:rFonts w:ascii="Arial" w:hAnsi="Arial" w:cs="Arial"/>
                <w:sz w:val="20"/>
                <w:szCs w:val="20"/>
                <w:lang w:val="en-NZ"/>
              </w:rPr>
            </w:pPr>
            <w:hyperlink r:id="rId21" w:history="1">
              <w:r w:rsidR="00922843" w:rsidRPr="001F7CB9">
                <w:rPr>
                  <w:rStyle w:val="Hyperlink"/>
                  <w:rFonts w:ascii="Arial" w:hAnsi="Arial" w:cs="Arial"/>
                  <w:sz w:val="20"/>
                  <w:szCs w:val="20"/>
                  <w:lang w:val="en-NZ"/>
                </w:rPr>
                <w:t>http://www.taranakielectricitytrust.co.nz/</w:t>
              </w:r>
            </w:hyperlink>
          </w:p>
          <w:p w:rsidR="00922843" w:rsidRDefault="00922843" w:rsidP="00922843">
            <w:pPr>
              <w:jc w:val="right"/>
              <w:rPr>
                <w:rFonts w:ascii="Arial" w:hAnsi="Arial" w:cs="Arial"/>
                <w:sz w:val="20"/>
                <w:szCs w:val="20"/>
                <w:lang w:val="en-NZ"/>
              </w:rPr>
            </w:pPr>
          </w:p>
        </w:tc>
      </w:tr>
      <w:tr w:rsidR="00922843" w:rsidRPr="008867C0" w:rsidTr="00F00FC9">
        <w:tc>
          <w:tcPr>
            <w:tcW w:w="2547" w:type="dxa"/>
          </w:tcPr>
          <w:p w:rsidR="00922843" w:rsidRDefault="00922843" w:rsidP="00657B8E">
            <w:pPr>
              <w:rPr>
                <w:rFonts w:ascii="Arial" w:hAnsi="Arial" w:cs="Arial"/>
                <w:sz w:val="20"/>
                <w:szCs w:val="20"/>
                <w:lang w:val="en-NZ"/>
              </w:rPr>
            </w:pPr>
            <w:r>
              <w:rPr>
                <w:rFonts w:ascii="Arial" w:hAnsi="Arial" w:cs="Arial"/>
                <w:sz w:val="20"/>
                <w:szCs w:val="20"/>
                <w:lang w:val="en-NZ"/>
              </w:rPr>
              <w:t>Taranaki Futures Education Consortium (TFEC)</w:t>
            </w:r>
          </w:p>
        </w:tc>
        <w:tc>
          <w:tcPr>
            <w:tcW w:w="7513" w:type="dxa"/>
          </w:tcPr>
          <w:p w:rsidR="00922843" w:rsidRDefault="00922843" w:rsidP="000709D9">
            <w:pPr>
              <w:rPr>
                <w:rFonts w:ascii="Arial" w:hAnsi="Arial" w:cs="Arial"/>
                <w:sz w:val="20"/>
                <w:szCs w:val="20"/>
              </w:rPr>
            </w:pPr>
            <w:r>
              <w:rPr>
                <w:rFonts w:ascii="Arial" w:hAnsi="Arial" w:cs="Arial"/>
                <w:sz w:val="20"/>
                <w:szCs w:val="20"/>
              </w:rPr>
              <w:t>A sub-committee of Taranaki Futures that brings together secondary and tertiary educators, ITO’s, PTE’s other social, business and educational entities such as Tui Ora and Taranaki Chamber of Commerce. Currently chaired by Mark Bowden.</w:t>
            </w:r>
          </w:p>
        </w:tc>
        <w:tc>
          <w:tcPr>
            <w:tcW w:w="4479" w:type="dxa"/>
          </w:tcPr>
          <w:p w:rsidR="00922843" w:rsidRDefault="00FF27EC" w:rsidP="000709D9">
            <w:pPr>
              <w:rPr>
                <w:rFonts w:ascii="Arial" w:hAnsi="Arial" w:cs="Arial"/>
                <w:sz w:val="20"/>
                <w:szCs w:val="20"/>
                <w:lang w:val="en-NZ"/>
              </w:rPr>
            </w:pPr>
            <w:hyperlink r:id="rId22" w:history="1">
              <w:r w:rsidR="00922843" w:rsidRPr="001F7CB9">
                <w:rPr>
                  <w:rStyle w:val="Hyperlink"/>
                  <w:rFonts w:ascii="Arial" w:hAnsi="Arial" w:cs="Arial"/>
                  <w:sz w:val="20"/>
                  <w:szCs w:val="20"/>
                  <w:lang w:val="en-NZ"/>
                </w:rPr>
                <w:t>http://www.taranakifutures.org.nz/</w:t>
              </w:r>
            </w:hyperlink>
          </w:p>
          <w:p w:rsidR="00922843" w:rsidRDefault="00922843" w:rsidP="000709D9">
            <w:pPr>
              <w:rPr>
                <w:rFonts w:ascii="Arial" w:hAnsi="Arial" w:cs="Arial"/>
                <w:sz w:val="20"/>
                <w:szCs w:val="20"/>
                <w:lang w:val="en-NZ"/>
              </w:rPr>
            </w:pPr>
          </w:p>
        </w:tc>
      </w:tr>
      <w:tr w:rsidR="00922843" w:rsidRPr="008867C0" w:rsidTr="00F00FC9">
        <w:tc>
          <w:tcPr>
            <w:tcW w:w="2547" w:type="dxa"/>
          </w:tcPr>
          <w:p w:rsidR="00922843" w:rsidRDefault="00922843" w:rsidP="00657B8E">
            <w:pPr>
              <w:rPr>
                <w:rFonts w:ascii="Arial" w:hAnsi="Arial" w:cs="Arial"/>
                <w:sz w:val="20"/>
                <w:szCs w:val="20"/>
                <w:lang w:val="en-NZ"/>
              </w:rPr>
            </w:pPr>
            <w:r>
              <w:rPr>
                <w:rFonts w:ascii="Arial" w:hAnsi="Arial" w:cs="Arial"/>
                <w:sz w:val="20"/>
                <w:szCs w:val="20"/>
                <w:lang w:val="en-NZ"/>
              </w:rPr>
              <w:t>Tertiary Education Commission (TEC)</w:t>
            </w:r>
          </w:p>
        </w:tc>
        <w:tc>
          <w:tcPr>
            <w:tcW w:w="7513" w:type="dxa"/>
          </w:tcPr>
          <w:p w:rsidR="00922843" w:rsidRDefault="00922843" w:rsidP="000709D9">
            <w:pPr>
              <w:rPr>
                <w:rFonts w:ascii="Arial" w:hAnsi="Arial" w:cs="Arial"/>
                <w:sz w:val="20"/>
                <w:szCs w:val="20"/>
              </w:rPr>
            </w:pPr>
            <w:r w:rsidRPr="00922843">
              <w:rPr>
                <w:rFonts w:ascii="Arial" w:hAnsi="Arial" w:cs="Arial"/>
                <w:sz w:val="20"/>
                <w:szCs w:val="20"/>
              </w:rPr>
              <w:t>TEC is responsible for funding tertiary educatio</w:t>
            </w:r>
            <w:r>
              <w:rPr>
                <w:rFonts w:ascii="Arial" w:hAnsi="Arial" w:cs="Arial"/>
                <w:sz w:val="20"/>
                <w:szCs w:val="20"/>
              </w:rPr>
              <w:t>n in New Zealand, assisting </w:t>
            </w:r>
            <w:r w:rsidRPr="00922843">
              <w:rPr>
                <w:rFonts w:ascii="Arial" w:hAnsi="Arial" w:cs="Arial"/>
                <w:sz w:val="20"/>
                <w:szCs w:val="20"/>
              </w:rPr>
              <w:t>people to reach their full potential and contributing to the social and economic well-being of the country.</w:t>
            </w:r>
            <w:r>
              <w:rPr>
                <w:rFonts w:ascii="Arial" w:hAnsi="Arial" w:cs="Arial"/>
                <w:sz w:val="20"/>
                <w:szCs w:val="20"/>
              </w:rPr>
              <w:t xml:space="preserve"> A crown entity ruled by </w:t>
            </w:r>
            <w:proofErr w:type="spellStart"/>
            <w:r>
              <w:rPr>
                <w:rFonts w:ascii="Arial" w:hAnsi="Arial" w:cs="Arial"/>
                <w:sz w:val="20"/>
                <w:szCs w:val="20"/>
              </w:rPr>
              <w:t>MoE</w:t>
            </w:r>
            <w:proofErr w:type="spellEnd"/>
            <w:r>
              <w:rPr>
                <w:rFonts w:ascii="Arial" w:hAnsi="Arial" w:cs="Arial"/>
                <w:sz w:val="20"/>
                <w:szCs w:val="20"/>
              </w:rPr>
              <w:t xml:space="preserve"> and MBIE. </w:t>
            </w:r>
          </w:p>
        </w:tc>
        <w:tc>
          <w:tcPr>
            <w:tcW w:w="4479" w:type="dxa"/>
          </w:tcPr>
          <w:p w:rsidR="00922843" w:rsidRDefault="00FF27EC" w:rsidP="000709D9">
            <w:pPr>
              <w:rPr>
                <w:rFonts w:ascii="Arial" w:hAnsi="Arial" w:cs="Arial"/>
                <w:sz w:val="20"/>
                <w:szCs w:val="20"/>
              </w:rPr>
            </w:pPr>
            <w:hyperlink r:id="rId23" w:history="1">
              <w:r w:rsidR="00922843" w:rsidRPr="001F7CB9">
                <w:rPr>
                  <w:rStyle w:val="Hyperlink"/>
                  <w:rFonts w:ascii="Arial" w:hAnsi="Arial" w:cs="Arial"/>
                  <w:sz w:val="20"/>
                  <w:szCs w:val="20"/>
                </w:rPr>
                <w:t>http://www.tec.govt.nz/</w:t>
              </w:r>
            </w:hyperlink>
          </w:p>
          <w:p w:rsidR="00922843" w:rsidRDefault="00922843" w:rsidP="000709D9">
            <w:pPr>
              <w:rPr>
                <w:rFonts w:ascii="Arial" w:hAnsi="Arial" w:cs="Arial"/>
                <w:sz w:val="20"/>
                <w:szCs w:val="20"/>
                <w:lang w:val="en-NZ"/>
              </w:rPr>
            </w:pPr>
          </w:p>
        </w:tc>
      </w:tr>
      <w:tr w:rsidR="00922843" w:rsidRPr="008867C0" w:rsidTr="00F00FC9">
        <w:tc>
          <w:tcPr>
            <w:tcW w:w="2547" w:type="dxa"/>
          </w:tcPr>
          <w:p w:rsidR="00922843" w:rsidRDefault="002217A7" w:rsidP="00657B8E">
            <w:pPr>
              <w:rPr>
                <w:rFonts w:ascii="Arial" w:hAnsi="Arial" w:cs="Arial"/>
                <w:sz w:val="20"/>
                <w:szCs w:val="20"/>
                <w:lang w:val="en-NZ"/>
              </w:rPr>
            </w:pPr>
            <w:r>
              <w:rPr>
                <w:rFonts w:ascii="Arial" w:hAnsi="Arial" w:cs="Arial"/>
                <w:sz w:val="20"/>
                <w:szCs w:val="20"/>
                <w:lang w:val="en-NZ"/>
              </w:rPr>
              <w:t>TSB Community Trust (TSBCT)</w:t>
            </w:r>
          </w:p>
        </w:tc>
        <w:tc>
          <w:tcPr>
            <w:tcW w:w="7513" w:type="dxa"/>
          </w:tcPr>
          <w:p w:rsidR="00922843" w:rsidRPr="002217A7" w:rsidRDefault="002217A7" w:rsidP="000709D9">
            <w:pPr>
              <w:rPr>
                <w:rFonts w:ascii="Arial" w:hAnsi="Arial" w:cs="Arial"/>
                <w:sz w:val="20"/>
                <w:szCs w:val="20"/>
                <w:lang w:val="en-NZ"/>
              </w:rPr>
            </w:pPr>
            <w:r w:rsidRPr="002217A7">
              <w:rPr>
                <w:rFonts w:ascii="Arial" w:hAnsi="Arial" w:cs="Arial"/>
                <w:sz w:val="20"/>
                <w:szCs w:val="20"/>
                <w:lang w:val="en-NZ"/>
              </w:rPr>
              <w:t xml:space="preserve">The TSB Community Trust was established </w:t>
            </w:r>
            <w:r>
              <w:rPr>
                <w:rFonts w:ascii="Arial" w:hAnsi="Arial" w:cs="Arial"/>
                <w:sz w:val="20"/>
                <w:szCs w:val="20"/>
                <w:lang w:val="en-NZ"/>
              </w:rPr>
              <w:t xml:space="preserve">as a charitable trust in 1988. </w:t>
            </w:r>
            <w:r w:rsidRPr="002217A7">
              <w:rPr>
                <w:rFonts w:ascii="Arial" w:hAnsi="Arial" w:cs="Arial"/>
                <w:sz w:val="20"/>
                <w:szCs w:val="20"/>
                <w:lang w:val="en-NZ"/>
              </w:rPr>
              <w:t>Each year the Trust receives a dividend from its assets, including the TSB Bank Ltd, that it can distribute towards charitable, cultural, philanthropic, recreational and other purposes beneficial to the community within the Trust's specified area.</w:t>
            </w:r>
          </w:p>
        </w:tc>
        <w:tc>
          <w:tcPr>
            <w:tcW w:w="4479" w:type="dxa"/>
          </w:tcPr>
          <w:p w:rsidR="00922843" w:rsidRDefault="00FF27EC" w:rsidP="000709D9">
            <w:pPr>
              <w:rPr>
                <w:rFonts w:ascii="Arial" w:hAnsi="Arial" w:cs="Arial"/>
                <w:sz w:val="20"/>
                <w:szCs w:val="20"/>
              </w:rPr>
            </w:pPr>
            <w:hyperlink r:id="rId24" w:history="1">
              <w:r w:rsidR="002217A7" w:rsidRPr="001F7CB9">
                <w:rPr>
                  <w:rStyle w:val="Hyperlink"/>
                  <w:rFonts w:ascii="Arial" w:hAnsi="Arial" w:cs="Arial"/>
                  <w:sz w:val="20"/>
                  <w:szCs w:val="20"/>
                </w:rPr>
                <w:t>https://www.tsbtrust.org.nz/</w:t>
              </w:r>
            </w:hyperlink>
          </w:p>
          <w:p w:rsidR="002217A7" w:rsidRDefault="002217A7" w:rsidP="000709D9">
            <w:pPr>
              <w:rPr>
                <w:rFonts w:ascii="Arial" w:hAnsi="Arial" w:cs="Arial"/>
                <w:sz w:val="20"/>
                <w:szCs w:val="20"/>
              </w:rPr>
            </w:pPr>
          </w:p>
        </w:tc>
      </w:tr>
      <w:tr w:rsidR="002217A7" w:rsidRPr="008867C0" w:rsidTr="00F00FC9">
        <w:tc>
          <w:tcPr>
            <w:tcW w:w="2547" w:type="dxa"/>
          </w:tcPr>
          <w:p w:rsidR="002217A7" w:rsidRDefault="002217A7" w:rsidP="00657B8E">
            <w:pPr>
              <w:rPr>
                <w:rFonts w:ascii="Arial" w:hAnsi="Arial" w:cs="Arial"/>
                <w:sz w:val="20"/>
                <w:szCs w:val="20"/>
                <w:lang w:val="en-NZ"/>
              </w:rPr>
            </w:pPr>
            <w:r>
              <w:rPr>
                <w:rFonts w:ascii="Arial" w:hAnsi="Arial" w:cs="Arial"/>
                <w:sz w:val="20"/>
                <w:szCs w:val="20"/>
                <w:lang w:val="en-NZ"/>
              </w:rPr>
              <w:t>Taranaki Outdoor Pursuits Centre (TSB TOPEC)</w:t>
            </w:r>
          </w:p>
        </w:tc>
        <w:tc>
          <w:tcPr>
            <w:tcW w:w="7513" w:type="dxa"/>
          </w:tcPr>
          <w:p w:rsidR="002217A7" w:rsidRPr="002217A7" w:rsidRDefault="002217A7" w:rsidP="000709D9">
            <w:pPr>
              <w:rPr>
                <w:rFonts w:ascii="Arial" w:hAnsi="Arial" w:cs="Arial"/>
                <w:sz w:val="20"/>
                <w:szCs w:val="20"/>
                <w:lang w:val="en-NZ"/>
              </w:rPr>
            </w:pPr>
            <w:r w:rsidRPr="002217A7">
              <w:rPr>
                <w:rFonts w:ascii="Arial" w:hAnsi="Arial" w:cs="Arial"/>
                <w:sz w:val="20"/>
                <w:szCs w:val="20"/>
              </w:rPr>
              <w:t xml:space="preserve">TSB TOPEC is situated on the banks of the </w:t>
            </w:r>
            <w:proofErr w:type="spellStart"/>
            <w:r w:rsidRPr="002217A7">
              <w:rPr>
                <w:rFonts w:ascii="Arial" w:hAnsi="Arial" w:cs="Arial"/>
                <w:sz w:val="20"/>
                <w:szCs w:val="20"/>
              </w:rPr>
              <w:t>Waiwhakaiho</w:t>
            </w:r>
            <w:proofErr w:type="spellEnd"/>
            <w:r w:rsidRPr="002217A7">
              <w:rPr>
                <w:rFonts w:ascii="Arial" w:hAnsi="Arial" w:cs="Arial"/>
                <w:sz w:val="20"/>
                <w:szCs w:val="20"/>
              </w:rPr>
              <w:t xml:space="preserve"> River, in bush reserve, some 10 kilometres from New Plymouth. TSB TOPEC was formed in 1986 by a Charitable Trust of interested parties to provide Outdoor education to Taranaki school students.</w:t>
            </w:r>
          </w:p>
        </w:tc>
        <w:tc>
          <w:tcPr>
            <w:tcW w:w="4479" w:type="dxa"/>
          </w:tcPr>
          <w:p w:rsidR="002217A7" w:rsidRDefault="00FF27EC" w:rsidP="000709D9">
            <w:pPr>
              <w:rPr>
                <w:rFonts w:ascii="Arial" w:hAnsi="Arial" w:cs="Arial"/>
                <w:sz w:val="20"/>
                <w:szCs w:val="20"/>
              </w:rPr>
            </w:pPr>
            <w:hyperlink r:id="rId25" w:history="1">
              <w:r w:rsidR="002217A7" w:rsidRPr="001F7CB9">
                <w:rPr>
                  <w:rStyle w:val="Hyperlink"/>
                  <w:rFonts w:ascii="Arial" w:hAnsi="Arial" w:cs="Arial"/>
                  <w:sz w:val="20"/>
                  <w:szCs w:val="20"/>
                </w:rPr>
                <w:t>http://tsbtopec.co.nz/abouttopec.html</w:t>
              </w:r>
            </w:hyperlink>
          </w:p>
          <w:p w:rsidR="002217A7" w:rsidRDefault="002217A7" w:rsidP="000709D9">
            <w:pPr>
              <w:rPr>
                <w:rFonts w:ascii="Arial" w:hAnsi="Arial" w:cs="Arial"/>
                <w:sz w:val="20"/>
                <w:szCs w:val="20"/>
              </w:rPr>
            </w:pPr>
          </w:p>
        </w:tc>
      </w:tr>
      <w:tr w:rsidR="002217A7" w:rsidRPr="008867C0" w:rsidTr="00F00FC9">
        <w:tc>
          <w:tcPr>
            <w:tcW w:w="2547" w:type="dxa"/>
          </w:tcPr>
          <w:p w:rsidR="002217A7" w:rsidRDefault="002217A7" w:rsidP="00657B8E">
            <w:pPr>
              <w:rPr>
                <w:rFonts w:ascii="Arial" w:hAnsi="Arial" w:cs="Arial"/>
                <w:sz w:val="20"/>
                <w:szCs w:val="20"/>
                <w:lang w:val="en-NZ"/>
              </w:rPr>
            </w:pPr>
            <w:r>
              <w:rPr>
                <w:rFonts w:ascii="Arial" w:hAnsi="Arial" w:cs="Arial"/>
                <w:sz w:val="20"/>
                <w:szCs w:val="20"/>
                <w:lang w:val="en-NZ"/>
              </w:rPr>
              <w:lastRenderedPageBreak/>
              <w:t>Taranaki Trades Academy</w:t>
            </w:r>
          </w:p>
        </w:tc>
        <w:tc>
          <w:tcPr>
            <w:tcW w:w="7513" w:type="dxa"/>
          </w:tcPr>
          <w:p w:rsidR="002217A7" w:rsidRPr="002217A7" w:rsidRDefault="002217A7" w:rsidP="00AF3ED2">
            <w:pPr>
              <w:rPr>
                <w:rFonts w:ascii="Arial" w:hAnsi="Arial" w:cs="Arial"/>
                <w:sz w:val="20"/>
                <w:szCs w:val="20"/>
              </w:rPr>
            </w:pPr>
            <w:r>
              <w:rPr>
                <w:rFonts w:ascii="Arial" w:hAnsi="Arial" w:cs="Arial"/>
                <w:sz w:val="20"/>
                <w:szCs w:val="20"/>
              </w:rPr>
              <w:t xml:space="preserve">Taranaki Trades Academy at WITT </w:t>
            </w:r>
            <w:r w:rsidRPr="002217A7">
              <w:rPr>
                <w:rFonts w:ascii="Arial" w:hAnsi="Arial" w:cs="Arial"/>
                <w:sz w:val="20"/>
                <w:szCs w:val="20"/>
              </w:rPr>
              <w:t>take</w:t>
            </w:r>
            <w:r>
              <w:rPr>
                <w:rFonts w:ascii="Arial" w:hAnsi="Arial" w:cs="Arial"/>
                <w:sz w:val="20"/>
                <w:szCs w:val="20"/>
              </w:rPr>
              <w:t>s</w:t>
            </w:r>
            <w:r w:rsidRPr="002217A7">
              <w:rPr>
                <w:rFonts w:ascii="Arial" w:hAnsi="Arial" w:cs="Arial"/>
                <w:sz w:val="20"/>
                <w:szCs w:val="20"/>
              </w:rPr>
              <w:t xml:space="preserve"> Ye</w:t>
            </w:r>
            <w:r w:rsidR="00AF3ED2">
              <w:rPr>
                <w:rFonts w:ascii="Arial" w:hAnsi="Arial" w:cs="Arial"/>
                <w:sz w:val="20"/>
                <w:szCs w:val="20"/>
              </w:rPr>
              <w:t>ar 11 to 13 students along the c</w:t>
            </w:r>
            <w:r w:rsidRPr="002217A7">
              <w:rPr>
                <w:rFonts w:ascii="Arial" w:hAnsi="Arial" w:cs="Arial"/>
                <w:sz w:val="20"/>
                <w:szCs w:val="20"/>
              </w:rPr>
              <w:t xml:space="preserve">areer </w:t>
            </w:r>
            <w:r w:rsidR="00AF3ED2">
              <w:rPr>
                <w:rFonts w:ascii="Arial" w:hAnsi="Arial" w:cs="Arial"/>
                <w:sz w:val="20"/>
                <w:szCs w:val="20"/>
              </w:rPr>
              <w:t>pathway</w:t>
            </w:r>
            <w:r w:rsidRPr="002217A7">
              <w:rPr>
                <w:rFonts w:ascii="Arial" w:hAnsi="Arial" w:cs="Arial"/>
                <w:sz w:val="20"/>
                <w:szCs w:val="20"/>
              </w:rPr>
              <w:t xml:space="preserve"> towards a vocational qualification while still at school. Students can remain engaged in education, be assisted in transition from a secondary to</w:t>
            </w:r>
            <w:r w:rsidR="00AF3ED2">
              <w:rPr>
                <w:rFonts w:ascii="Arial" w:hAnsi="Arial" w:cs="Arial"/>
                <w:sz w:val="20"/>
                <w:szCs w:val="20"/>
              </w:rPr>
              <w:t xml:space="preserve"> tertiary learning environment </w:t>
            </w:r>
            <w:r w:rsidRPr="002217A7">
              <w:rPr>
                <w:rFonts w:ascii="Arial" w:hAnsi="Arial" w:cs="Arial"/>
                <w:sz w:val="20"/>
                <w:szCs w:val="20"/>
              </w:rPr>
              <w:t>and gain credits towards NCEA Level 2 and a tertiary qualification.</w:t>
            </w:r>
          </w:p>
        </w:tc>
        <w:tc>
          <w:tcPr>
            <w:tcW w:w="4479" w:type="dxa"/>
          </w:tcPr>
          <w:p w:rsidR="002217A7" w:rsidRDefault="00FF27EC" w:rsidP="000709D9">
            <w:pPr>
              <w:rPr>
                <w:rFonts w:ascii="Arial" w:hAnsi="Arial" w:cs="Arial"/>
                <w:sz w:val="20"/>
                <w:szCs w:val="20"/>
              </w:rPr>
            </w:pPr>
            <w:hyperlink r:id="rId26" w:history="1">
              <w:r w:rsidR="002217A7" w:rsidRPr="001F7CB9">
                <w:rPr>
                  <w:rStyle w:val="Hyperlink"/>
                  <w:rFonts w:ascii="Arial" w:hAnsi="Arial" w:cs="Arial"/>
                  <w:sz w:val="20"/>
                  <w:szCs w:val="20"/>
                </w:rPr>
                <w:t>http://www.witt.ac.nz/Courses/Taranaki-Trades-Academy/</w:t>
              </w:r>
            </w:hyperlink>
          </w:p>
          <w:p w:rsidR="002217A7" w:rsidRDefault="002217A7" w:rsidP="000709D9">
            <w:pPr>
              <w:rPr>
                <w:rFonts w:ascii="Arial" w:hAnsi="Arial" w:cs="Arial"/>
                <w:sz w:val="20"/>
                <w:szCs w:val="20"/>
              </w:rPr>
            </w:pPr>
          </w:p>
        </w:tc>
      </w:tr>
      <w:tr w:rsidR="002217A7" w:rsidRPr="008867C0" w:rsidTr="00F00FC9">
        <w:tc>
          <w:tcPr>
            <w:tcW w:w="2547" w:type="dxa"/>
          </w:tcPr>
          <w:p w:rsidR="002217A7" w:rsidRDefault="002217A7" w:rsidP="00657B8E">
            <w:pPr>
              <w:rPr>
                <w:rFonts w:ascii="Arial" w:hAnsi="Arial" w:cs="Arial"/>
                <w:sz w:val="20"/>
                <w:szCs w:val="20"/>
                <w:lang w:val="en-NZ"/>
              </w:rPr>
            </w:pPr>
            <w:r>
              <w:rPr>
                <w:rFonts w:ascii="Arial" w:hAnsi="Arial" w:cs="Arial"/>
                <w:sz w:val="20"/>
                <w:szCs w:val="20"/>
                <w:lang w:val="en-NZ"/>
              </w:rPr>
              <w:t>Vocational Pathways (VP)</w:t>
            </w:r>
          </w:p>
        </w:tc>
        <w:tc>
          <w:tcPr>
            <w:tcW w:w="7513" w:type="dxa"/>
          </w:tcPr>
          <w:p w:rsidR="002217A7" w:rsidRDefault="002217A7" w:rsidP="000709D9">
            <w:pPr>
              <w:rPr>
                <w:rFonts w:ascii="Arial" w:hAnsi="Arial" w:cs="Arial"/>
                <w:sz w:val="20"/>
                <w:szCs w:val="20"/>
              </w:rPr>
            </w:pPr>
            <w:r>
              <w:rPr>
                <w:rFonts w:ascii="Arial" w:hAnsi="Arial" w:cs="Arial"/>
                <w:sz w:val="20"/>
                <w:szCs w:val="20"/>
              </w:rPr>
              <w:t xml:space="preserve">Famous for the “colour wheel”, the </w:t>
            </w:r>
            <w:r w:rsidRPr="002217A7">
              <w:rPr>
                <w:rFonts w:ascii="Arial" w:hAnsi="Arial" w:cs="Arial"/>
                <w:sz w:val="20"/>
                <w:szCs w:val="20"/>
              </w:rPr>
              <w:t>Vocational Pathways provide new ways to achieve NCEA Levels 1, 2 and 3 and develop pathways that progress to further study, tr</w:t>
            </w:r>
            <w:r>
              <w:rPr>
                <w:rFonts w:ascii="Arial" w:hAnsi="Arial" w:cs="Arial"/>
                <w:sz w:val="20"/>
                <w:szCs w:val="20"/>
              </w:rPr>
              <w:t xml:space="preserve">aining and employment. </w:t>
            </w:r>
          </w:p>
        </w:tc>
        <w:tc>
          <w:tcPr>
            <w:tcW w:w="4479" w:type="dxa"/>
          </w:tcPr>
          <w:p w:rsidR="002217A7" w:rsidRDefault="00FF27EC" w:rsidP="000709D9">
            <w:pPr>
              <w:rPr>
                <w:rFonts w:ascii="Arial" w:hAnsi="Arial" w:cs="Arial"/>
                <w:sz w:val="20"/>
                <w:szCs w:val="20"/>
              </w:rPr>
            </w:pPr>
            <w:hyperlink r:id="rId27" w:history="1">
              <w:r w:rsidR="002217A7" w:rsidRPr="001F7CB9">
                <w:rPr>
                  <w:rStyle w:val="Hyperlink"/>
                  <w:rFonts w:ascii="Arial" w:hAnsi="Arial" w:cs="Arial"/>
                  <w:sz w:val="20"/>
                  <w:szCs w:val="20"/>
                </w:rPr>
                <w:t>http://youthguarantee.net.nz/vocational-pathways</w:t>
              </w:r>
            </w:hyperlink>
          </w:p>
          <w:p w:rsidR="002217A7" w:rsidRDefault="002217A7" w:rsidP="000709D9">
            <w:pPr>
              <w:rPr>
                <w:rFonts w:ascii="Arial" w:hAnsi="Arial" w:cs="Arial"/>
                <w:sz w:val="20"/>
                <w:szCs w:val="20"/>
              </w:rPr>
            </w:pPr>
          </w:p>
        </w:tc>
      </w:tr>
      <w:tr w:rsidR="002217A7" w:rsidRPr="008867C0" w:rsidTr="00F00FC9">
        <w:tc>
          <w:tcPr>
            <w:tcW w:w="2547" w:type="dxa"/>
          </w:tcPr>
          <w:p w:rsidR="002217A7" w:rsidRDefault="002217A7" w:rsidP="00657B8E">
            <w:pPr>
              <w:rPr>
                <w:rFonts w:ascii="Arial" w:hAnsi="Arial" w:cs="Arial"/>
                <w:sz w:val="20"/>
                <w:szCs w:val="20"/>
                <w:lang w:val="en-NZ"/>
              </w:rPr>
            </w:pPr>
            <w:r>
              <w:rPr>
                <w:rFonts w:ascii="Arial" w:hAnsi="Arial" w:cs="Arial"/>
                <w:sz w:val="20"/>
                <w:szCs w:val="20"/>
                <w:lang w:val="en-NZ"/>
              </w:rPr>
              <w:t>Youth Guarantee (YG)</w:t>
            </w:r>
          </w:p>
        </w:tc>
        <w:tc>
          <w:tcPr>
            <w:tcW w:w="7513" w:type="dxa"/>
          </w:tcPr>
          <w:p w:rsidR="002217A7" w:rsidRDefault="002217A7" w:rsidP="000709D9">
            <w:pPr>
              <w:rPr>
                <w:rFonts w:ascii="Arial" w:hAnsi="Arial" w:cs="Arial"/>
                <w:sz w:val="20"/>
                <w:szCs w:val="20"/>
              </w:rPr>
            </w:pPr>
            <w:r>
              <w:rPr>
                <w:rFonts w:ascii="Arial" w:hAnsi="Arial" w:cs="Arial"/>
                <w:sz w:val="20"/>
                <w:szCs w:val="20"/>
              </w:rPr>
              <w:t>Usually associated with fees-free courses, YG is actually a suite of programm</w:t>
            </w:r>
            <w:r w:rsidR="00E971C6">
              <w:rPr>
                <w:rFonts w:ascii="Arial" w:hAnsi="Arial" w:cs="Arial"/>
                <w:sz w:val="20"/>
                <w:szCs w:val="20"/>
              </w:rPr>
              <w:t xml:space="preserve">es that </w:t>
            </w:r>
            <w:r w:rsidR="00E971C6" w:rsidRPr="00E971C6">
              <w:rPr>
                <w:rFonts w:ascii="Arial" w:hAnsi="Arial" w:cs="Arial"/>
                <w:sz w:val="20"/>
                <w:szCs w:val="20"/>
              </w:rPr>
              <w:t>are about improving the transition from school to further study, work or training. They provide a wider range of learning opportunities, make better use of the education network, and clarify pathways from school.</w:t>
            </w:r>
          </w:p>
        </w:tc>
        <w:tc>
          <w:tcPr>
            <w:tcW w:w="4479" w:type="dxa"/>
          </w:tcPr>
          <w:p w:rsidR="002217A7" w:rsidRDefault="00FF27EC" w:rsidP="000709D9">
            <w:pPr>
              <w:rPr>
                <w:rFonts w:ascii="Arial" w:hAnsi="Arial" w:cs="Arial"/>
                <w:sz w:val="20"/>
                <w:szCs w:val="20"/>
              </w:rPr>
            </w:pPr>
            <w:hyperlink r:id="rId28" w:history="1">
              <w:r w:rsidR="00E971C6" w:rsidRPr="001F7CB9">
                <w:rPr>
                  <w:rStyle w:val="Hyperlink"/>
                  <w:rFonts w:ascii="Arial" w:hAnsi="Arial" w:cs="Arial"/>
                  <w:sz w:val="20"/>
                  <w:szCs w:val="20"/>
                </w:rPr>
                <w:t>http://youthguarantee.net.nz/start-your-journey/</w:t>
              </w:r>
            </w:hyperlink>
          </w:p>
          <w:p w:rsidR="00E971C6" w:rsidRDefault="00E971C6" w:rsidP="000709D9">
            <w:pPr>
              <w:rPr>
                <w:rFonts w:ascii="Arial" w:hAnsi="Arial" w:cs="Arial"/>
                <w:sz w:val="20"/>
                <w:szCs w:val="20"/>
              </w:rPr>
            </w:pPr>
          </w:p>
        </w:tc>
      </w:tr>
    </w:tbl>
    <w:p w:rsidR="00021868" w:rsidRPr="008867C0" w:rsidRDefault="00021868" w:rsidP="00B244B9">
      <w:pPr>
        <w:rPr>
          <w:rFonts w:ascii="Arial" w:hAnsi="Arial" w:cs="Arial"/>
          <w:sz w:val="20"/>
          <w:szCs w:val="20"/>
          <w:lang w:val="en-NZ"/>
        </w:rPr>
      </w:pPr>
    </w:p>
    <w:sectPr w:rsidR="00021868" w:rsidRPr="008867C0" w:rsidSect="00021868">
      <w:headerReference w:type="even" r:id="rId29"/>
      <w:headerReference w:type="default" r:id="rId30"/>
      <w:footerReference w:type="default" r:id="rId31"/>
      <w:pgSz w:w="16840" w:h="11900" w:orient="landscape"/>
      <w:pgMar w:top="1701" w:right="851" w:bottom="1701" w:left="144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7EC" w:rsidRDefault="00FF27EC" w:rsidP="00A87AA5">
      <w:r>
        <w:separator/>
      </w:r>
    </w:p>
  </w:endnote>
  <w:endnote w:type="continuationSeparator" w:id="0">
    <w:p w:rsidR="00FF27EC" w:rsidRDefault="00FF27EC" w:rsidP="00A87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Segoe UI"/>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7B1" w:rsidRPr="00A87AA5" w:rsidRDefault="000217B1" w:rsidP="000217B1">
    <w:pPr>
      <w:pStyle w:val="BasicParagraph"/>
      <w:tabs>
        <w:tab w:val="left" w:pos="448"/>
      </w:tabs>
      <w:spacing w:after="20"/>
      <w:jc w:val="center"/>
      <w:rPr>
        <w:rFonts w:ascii="Arial" w:hAnsi="Arial" w:cs="Arial"/>
        <w:color w:val="808080"/>
        <w:sz w:val="20"/>
        <w:szCs w:val="20"/>
      </w:rPr>
    </w:pPr>
  </w:p>
  <w:p w:rsidR="000217B1" w:rsidRPr="00A87AA5" w:rsidRDefault="005573D6" w:rsidP="000217B1">
    <w:pPr>
      <w:pStyle w:val="BasicParagraph"/>
      <w:tabs>
        <w:tab w:val="left" w:pos="448"/>
      </w:tabs>
      <w:spacing w:after="20"/>
      <w:jc w:val="center"/>
      <w:rPr>
        <w:rFonts w:ascii="Arial" w:hAnsi="Arial" w:cs="Arial"/>
        <w:color w:val="808080"/>
        <w:sz w:val="20"/>
        <w:szCs w:val="20"/>
      </w:rPr>
    </w:pPr>
    <w:r>
      <w:rPr>
        <w:rFonts w:ascii="Arial" w:hAnsi="Arial" w:cs="Arial"/>
        <w:color w:val="808080"/>
        <w:sz w:val="20"/>
        <w:szCs w:val="20"/>
      </w:rPr>
      <w:t xml:space="preserve">9 Robe St. New Plymouth 4342 </w:t>
    </w:r>
    <w:r w:rsidR="000217B1">
      <w:rPr>
        <w:rFonts w:ascii="Arial" w:hAnsi="Arial" w:cs="Arial"/>
        <w:color w:val="808080"/>
        <w:sz w:val="20"/>
        <w:szCs w:val="20"/>
      </w:rPr>
      <w:t>|</w:t>
    </w:r>
    <w:r>
      <w:rPr>
        <w:rFonts w:ascii="Arial" w:hAnsi="Arial" w:cs="Arial"/>
        <w:color w:val="808080"/>
        <w:sz w:val="20"/>
        <w:szCs w:val="20"/>
      </w:rPr>
      <w:t xml:space="preserve"> PO Box 8114 |</w:t>
    </w:r>
    <w:r w:rsidR="000217B1">
      <w:rPr>
        <w:rFonts w:ascii="Arial" w:hAnsi="Arial" w:cs="Arial"/>
        <w:color w:val="808080"/>
        <w:sz w:val="20"/>
        <w:szCs w:val="20"/>
      </w:rPr>
      <w:t xml:space="preserve"> </w:t>
    </w:r>
    <w:r>
      <w:rPr>
        <w:rFonts w:ascii="Arial" w:hAnsi="Arial" w:cs="Arial"/>
        <w:color w:val="808080"/>
        <w:sz w:val="20"/>
        <w:szCs w:val="20"/>
      </w:rPr>
      <w:t xml:space="preserve">06 759 </w:t>
    </w:r>
    <w:r>
      <w:rPr>
        <w:rFonts w:ascii="Arial" w:hAnsi="Arial" w:cs="Arial"/>
        <w:color w:val="808080"/>
        <w:sz w:val="20"/>
        <w:szCs w:val="20"/>
      </w:rPr>
      <w:t>5179</w:t>
    </w:r>
    <w:r w:rsidR="000217B1">
      <w:rPr>
        <w:rFonts w:ascii="Arial" w:hAnsi="Arial" w:cs="Arial"/>
        <w:color w:val="808080"/>
        <w:sz w:val="20"/>
        <w:szCs w:val="20"/>
      </w:rPr>
      <w:t xml:space="preserve">  |  </w:t>
    </w:r>
    <w:r w:rsidR="000217B1" w:rsidRPr="00A87AA5">
      <w:rPr>
        <w:rFonts w:ascii="Arial" w:hAnsi="Arial" w:cs="Arial"/>
        <w:color w:val="808080"/>
        <w:sz w:val="20"/>
        <w:szCs w:val="20"/>
      </w:rPr>
      <w:t>027 339 3257</w:t>
    </w:r>
  </w:p>
  <w:p w:rsidR="000217B1" w:rsidRDefault="00021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7EC" w:rsidRDefault="00FF27EC" w:rsidP="00A87AA5">
      <w:r>
        <w:separator/>
      </w:r>
    </w:p>
  </w:footnote>
  <w:footnote w:type="continuationSeparator" w:id="0">
    <w:p w:rsidR="00FF27EC" w:rsidRDefault="00FF27EC" w:rsidP="00A87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AA5" w:rsidRDefault="00A87AA5" w:rsidP="00A87AA5">
    <w:pPr>
      <w:pStyle w:val="Header"/>
      <w:tabs>
        <w:tab w:val="clear" w:pos="4320"/>
        <w:tab w:val="clear" w:pos="8640"/>
        <w:tab w:val="center" w:pos="4249"/>
        <w:tab w:val="right" w:pos="8498"/>
      </w:tabs>
    </w:pPr>
    <w:r>
      <w:t>[Type text]</w:t>
    </w:r>
    <w:r>
      <w:tab/>
      <w:t>[Type text]</w:t>
    </w:r>
    <w:r>
      <w:tab/>
      <w:t>[Type text]</w:t>
    </w:r>
  </w:p>
  <w:p w:rsidR="00A87AA5" w:rsidRDefault="00A87A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AA5" w:rsidRDefault="005573D6" w:rsidP="00A9079B">
    <w:pPr>
      <w:pStyle w:val="Header"/>
    </w:pPr>
    <w:r>
      <w:rPr>
        <w:noProof/>
        <w:lang w:val="en-NZ" w:eastAsia="en-NZ"/>
      </w:rPr>
      <w:drawing>
        <wp:inline distT="0" distB="0" distL="0" distR="0">
          <wp:extent cx="1933575" cy="1333500"/>
          <wp:effectExtent l="0" t="0" r="9525" b="0"/>
          <wp:docPr id="1" name="Picture 1" descr="Taranaki-Futures_LOGO_new-web-address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ranaki-Futures_LOGO_new-web-address_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1333500"/>
                  </a:xfrm>
                  <a:prstGeom prst="rect">
                    <a:avLst/>
                  </a:prstGeom>
                  <a:noFill/>
                  <a:ln>
                    <a:noFill/>
                  </a:ln>
                </pic:spPr>
              </pic:pic>
            </a:graphicData>
          </a:graphic>
        </wp:inline>
      </w:drawing>
    </w:r>
  </w:p>
  <w:p w:rsidR="00A9079B" w:rsidRPr="00A9079B" w:rsidRDefault="00A9079B" w:rsidP="00A907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A502B"/>
    <w:multiLevelType w:val="hybridMultilevel"/>
    <w:tmpl w:val="0DF4AAEE"/>
    <w:lvl w:ilvl="0" w:tplc="59E40548">
      <w:start w:val="30"/>
      <w:numFmt w:val="bullet"/>
      <w:lvlText w:val="-"/>
      <w:lvlJc w:val="left"/>
      <w:pPr>
        <w:ind w:left="720" w:hanging="360"/>
      </w:pPr>
      <w:rPr>
        <w:rFonts w:ascii="Arial" w:eastAsia="MS Mincho"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093695B"/>
    <w:multiLevelType w:val="multilevel"/>
    <w:tmpl w:val="2B9A2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5B797D"/>
    <w:multiLevelType w:val="multilevel"/>
    <w:tmpl w:val="FCC84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B21C69"/>
    <w:multiLevelType w:val="hybridMultilevel"/>
    <w:tmpl w:val="48F2BE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AA5"/>
    <w:rsid w:val="000217B1"/>
    <w:rsid w:val="00021868"/>
    <w:rsid w:val="000709D9"/>
    <w:rsid w:val="00152ADA"/>
    <w:rsid w:val="002217A7"/>
    <w:rsid w:val="002C041E"/>
    <w:rsid w:val="002D1079"/>
    <w:rsid w:val="00317E65"/>
    <w:rsid w:val="003259A4"/>
    <w:rsid w:val="00481562"/>
    <w:rsid w:val="005573D6"/>
    <w:rsid w:val="006444D5"/>
    <w:rsid w:val="00657B8E"/>
    <w:rsid w:val="00756D35"/>
    <w:rsid w:val="007C24D7"/>
    <w:rsid w:val="008867C0"/>
    <w:rsid w:val="008B346E"/>
    <w:rsid w:val="00922843"/>
    <w:rsid w:val="009F56AD"/>
    <w:rsid w:val="00A3006C"/>
    <w:rsid w:val="00A34696"/>
    <w:rsid w:val="00A87AA5"/>
    <w:rsid w:val="00A9079B"/>
    <w:rsid w:val="00AF3ED2"/>
    <w:rsid w:val="00B017A6"/>
    <w:rsid w:val="00B244B9"/>
    <w:rsid w:val="00B63CE2"/>
    <w:rsid w:val="00D665A1"/>
    <w:rsid w:val="00DB5791"/>
    <w:rsid w:val="00E22733"/>
    <w:rsid w:val="00E519BD"/>
    <w:rsid w:val="00E971C6"/>
    <w:rsid w:val="00EA4DE2"/>
    <w:rsid w:val="00F00FC9"/>
    <w:rsid w:val="00F74533"/>
    <w:rsid w:val="00FF27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F494E0"/>
  <w14:defaultImageDpi w14:val="300"/>
  <w15:chartTrackingRefBased/>
  <w15:docId w15:val="{2D9EAF13-D42B-48CA-BC45-EEDAC3527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7AA5"/>
    <w:rPr>
      <w:rFonts w:ascii="Lucida Grande" w:hAnsi="Lucida Grande" w:cs="Lucida Grande"/>
      <w:sz w:val="18"/>
      <w:szCs w:val="18"/>
    </w:rPr>
  </w:style>
  <w:style w:type="character" w:customStyle="1" w:styleId="BalloonTextChar">
    <w:name w:val="Balloon Text Char"/>
    <w:link w:val="BalloonText"/>
    <w:uiPriority w:val="99"/>
    <w:semiHidden/>
    <w:rsid w:val="00A87AA5"/>
    <w:rPr>
      <w:rFonts w:ascii="Lucida Grande" w:hAnsi="Lucida Grande" w:cs="Lucida Grande"/>
      <w:sz w:val="18"/>
      <w:szCs w:val="18"/>
    </w:rPr>
  </w:style>
  <w:style w:type="paragraph" w:styleId="Header">
    <w:name w:val="header"/>
    <w:basedOn w:val="Normal"/>
    <w:link w:val="HeaderChar"/>
    <w:uiPriority w:val="99"/>
    <w:unhideWhenUsed/>
    <w:rsid w:val="00A87AA5"/>
    <w:pPr>
      <w:tabs>
        <w:tab w:val="center" w:pos="4320"/>
        <w:tab w:val="right" w:pos="8640"/>
      </w:tabs>
    </w:pPr>
  </w:style>
  <w:style w:type="character" w:customStyle="1" w:styleId="HeaderChar">
    <w:name w:val="Header Char"/>
    <w:basedOn w:val="DefaultParagraphFont"/>
    <w:link w:val="Header"/>
    <w:uiPriority w:val="99"/>
    <w:rsid w:val="00A87AA5"/>
  </w:style>
  <w:style w:type="paragraph" w:styleId="Footer">
    <w:name w:val="footer"/>
    <w:basedOn w:val="Normal"/>
    <w:link w:val="FooterChar"/>
    <w:uiPriority w:val="99"/>
    <w:unhideWhenUsed/>
    <w:rsid w:val="00A87AA5"/>
    <w:pPr>
      <w:tabs>
        <w:tab w:val="center" w:pos="4320"/>
        <w:tab w:val="right" w:pos="8640"/>
      </w:tabs>
    </w:pPr>
  </w:style>
  <w:style w:type="character" w:customStyle="1" w:styleId="FooterChar">
    <w:name w:val="Footer Char"/>
    <w:basedOn w:val="DefaultParagraphFont"/>
    <w:link w:val="Footer"/>
    <w:uiPriority w:val="99"/>
    <w:rsid w:val="00A87AA5"/>
  </w:style>
  <w:style w:type="paragraph" w:customStyle="1" w:styleId="BasicParagraph">
    <w:name w:val="[Basic Paragraph]"/>
    <w:basedOn w:val="Normal"/>
    <w:uiPriority w:val="99"/>
    <w:rsid w:val="00A87AA5"/>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styleId="Caption">
    <w:name w:val="caption"/>
    <w:basedOn w:val="Normal"/>
    <w:next w:val="Normal"/>
    <w:uiPriority w:val="35"/>
    <w:unhideWhenUsed/>
    <w:qFormat/>
    <w:rsid w:val="00317E65"/>
    <w:pPr>
      <w:spacing w:after="200"/>
    </w:pPr>
    <w:rPr>
      <w:i/>
      <w:iCs/>
      <w:color w:val="44546A" w:themeColor="text2"/>
      <w:sz w:val="18"/>
      <w:szCs w:val="18"/>
    </w:rPr>
  </w:style>
  <w:style w:type="table" w:styleId="TableGrid">
    <w:name w:val="Table Grid"/>
    <w:basedOn w:val="TableNormal"/>
    <w:uiPriority w:val="59"/>
    <w:rsid w:val="00021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0F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844546">
      <w:bodyDiv w:val="1"/>
      <w:marLeft w:val="0"/>
      <w:marRight w:val="0"/>
      <w:marTop w:val="0"/>
      <w:marBottom w:val="0"/>
      <w:divBdr>
        <w:top w:val="none" w:sz="0" w:space="0" w:color="auto"/>
        <w:left w:val="none" w:sz="0" w:space="0" w:color="auto"/>
        <w:bottom w:val="none" w:sz="0" w:space="0" w:color="auto"/>
        <w:right w:val="none" w:sz="0" w:space="0" w:color="auto"/>
      </w:divBdr>
      <w:divsChild>
        <w:div w:id="970940994">
          <w:marLeft w:val="0"/>
          <w:marRight w:val="0"/>
          <w:marTop w:val="0"/>
          <w:marBottom w:val="0"/>
          <w:divBdr>
            <w:top w:val="none" w:sz="0" w:space="0" w:color="auto"/>
            <w:left w:val="none" w:sz="0" w:space="0" w:color="auto"/>
            <w:bottom w:val="none" w:sz="0" w:space="0" w:color="auto"/>
            <w:right w:val="none" w:sz="0" w:space="0" w:color="auto"/>
          </w:divBdr>
        </w:div>
      </w:divsChild>
    </w:div>
    <w:div w:id="592393389">
      <w:bodyDiv w:val="1"/>
      <w:marLeft w:val="0"/>
      <w:marRight w:val="0"/>
      <w:marTop w:val="0"/>
      <w:marBottom w:val="0"/>
      <w:divBdr>
        <w:top w:val="none" w:sz="0" w:space="0" w:color="auto"/>
        <w:left w:val="none" w:sz="0" w:space="0" w:color="auto"/>
        <w:bottom w:val="none" w:sz="0" w:space="0" w:color="auto"/>
        <w:right w:val="none" w:sz="0" w:space="0" w:color="auto"/>
      </w:divBdr>
      <w:divsChild>
        <w:div w:id="291255498">
          <w:marLeft w:val="0"/>
          <w:marRight w:val="0"/>
          <w:marTop w:val="0"/>
          <w:marBottom w:val="0"/>
          <w:divBdr>
            <w:top w:val="none" w:sz="0" w:space="0" w:color="auto"/>
            <w:left w:val="none" w:sz="0" w:space="0" w:color="auto"/>
            <w:bottom w:val="none" w:sz="0" w:space="0" w:color="auto"/>
            <w:right w:val="none" w:sz="0" w:space="0" w:color="auto"/>
          </w:divBdr>
        </w:div>
        <w:div w:id="1294408717">
          <w:marLeft w:val="0"/>
          <w:marRight w:val="0"/>
          <w:marTop w:val="0"/>
          <w:marBottom w:val="0"/>
          <w:divBdr>
            <w:top w:val="none" w:sz="0" w:space="0" w:color="auto"/>
            <w:left w:val="none" w:sz="0" w:space="0" w:color="auto"/>
            <w:bottom w:val="none" w:sz="0" w:space="0" w:color="auto"/>
            <w:right w:val="none" w:sz="0" w:space="0" w:color="auto"/>
          </w:divBdr>
        </w:div>
      </w:divsChild>
    </w:div>
    <w:div w:id="1315178279">
      <w:bodyDiv w:val="1"/>
      <w:marLeft w:val="0"/>
      <w:marRight w:val="0"/>
      <w:marTop w:val="0"/>
      <w:marBottom w:val="0"/>
      <w:divBdr>
        <w:top w:val="none" w:sz="0" w:space="0" w:color="auto"/>
        <w:left w:val="none" w:sz="0" w:space="0" w:color="auto"/>
        <w:bottom w:val="none" w:sz="0" w:space="0" w:color="auto"/>
        <w:right w:val="none" w:sz="0" w:space="0" w:color="auto"/>
      </w:divBdr>
    </w:div>
    <w:div w:id="1369260782">
      <w:bodyDiv w:val="1"/>
      <w:marLeft w:val="0"/>
      <w:marRight w:val="0"/>
      <w:marTop w:val="0"/>
      <w:marBottom w:val="0"/>
      <w:divBdr>
        <w:top w:val="none" w:sz="0" w:space="0" w:color="auto"/>
        <w:left w:val="none" w:sz="0" w:space="0" w:color="auto"/>
        <w:bottom w:val="none" w:sz="0" w:space="0" w:color="auto"/>
        <w:right w:val="none" w:sz="0" w:space="0" w:color="auto"/>
      </w:divBdr>
    </w:div>
    <w:div w:id="1835221963">
      <w:bodyDiv w:val="1"/>
      <w:marLeft w:val="0"/>
      <w:marRight w:val="0"/>
      <w:marTop w:val="0"/>
      <w:marBottom w:val="0"/>
      <w:divBdr>
        <w:top w:val="none" w:sz="0" w:space="0" w:color="auto"/>
        <w:left w:val="none" w:sz="0" w:space="0" w:color="auto"/>
        <w:bottom w:val="none" w:sz="0" w:space="0" w:color="auto"/>
        <w:right w:val="none" w:sz="0" w:space="0" w:color="auto"/>
      </w:divBdr>
    </w:div>
    <w:div w:id="200501220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cate.co.nz/" TargetMode="External"/><Relationship Id="rId13" Type="http://schemas.openxmlformats.org/officeDocument/2006/relationships/hyperlink" Target="http://www.tec.govt.nz/Funding/Fund-finder/Maori-and-Pasifika-Trades-Training-/" TargetMode="External"/><Relationship Id="rId18" Type="http://schemas.openxmlformats.org/officeDocument/2006/relationships/hyperlink" Target="http://www.mbie.govt.nz/info-services/employment-skills/labour-market-reports/occupation-outlook" TargetMode="External"/><Relationship Id="rId26" Type="http://schemas.openxmlformats.org/officeDocument/2006/relationships/hyperlink" Target="http://www.witt.ac.nz/Courses/Taranaki-Trades-Academy/" TargetMode="External"/><Relationship Id="rId3" Type="http://schemas.openxmlformats.org/officeDocument/2006/relationships/styles" Target="styles.xml"/><Relationship Id="rId21" Type="http://schemas.openxmlformats.org/officeDocument/2006/relationships/hyperlink" Target="http://www.taranakielectricitytrust.co.nz/" TargetMode="External"/><Relationship Id="rId7" Type="http://schemas.openxmlformats.org/officeDocument/2006/relationships/endnotes" Target="endnotes.xml"/><Relationship Id="rId12" Type="http://schemas.openxmlformats.org/officeDocument/2006/relationships/hyperlink" Target="http://www.itf.org.nz/" TargetMode="External"/><Relationship Id="rId17" Type="http://schemas.openxmlformats.org/officeDocument/2006/relationships/hyperlink" Target="http://www.nzqa.govt.nz/qualifications-standards/qualifications/ncea/understanding-ncea/how-ncea-works/" TargetMode="External"/><Relationship Id="rId25" Type="http://schemas.openxmlformats.org/officeDocument/2006/relationships/hyperlink" Target="http://tsbtopec.co.nz/abouttopec.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ducation.govt.nz/" TargetMode="External"/><Relationship Id="rId20" Type="http://schemas.openxmlformats.org/officeDocument/2006/relationships/hyperlink" Target="http://www.education.govt.nz/ministry-of-education/specific-initiatives/sta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c.govt.nz/Funding/Fund-finder/Gateway/" TargetMode="External"/><Relationship Id="rId24" Type="http://schemas.openxmlformats.org/officeDocument/2006/relationships/hyperlink" Target="https://www.tsbtrust.org.nz/"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bie.govt.nz/" TargetMode="External"/><Relationship Id="rId23" Type="http://schemas.openxmlformats.org/officeDocument/2006/relationships/hyperlink" Target="http://www.tec.govt.nz/" TargetMode="External"/><Relationship Id="rId28" Type="http://schemas.openxmlformats.org/officeDocument/2006/relationships/hyperlink" Target="http://youthguarantee.net.nz/start-your-journey/" TargetMode="External"/><Relationship Id="rId10" Type="http://schemas.openxmlformats.org/officeDocument/2006/relationships/hyperlink" Target="http://cate.co.nz/funding/" TargetMode="External"/><Relationship Id="rId19" Type="http://schemas.openxmlformats.org/officeDocument/2006/relationships/hyperlink" Target="http://www.gostudynewzealand.com/find-an-institution/private-training-establishments-new-zealand/"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areers.govt.nz/" TargetMode="External"/><Relationship Id="rId14" Type="http://schemas.openxmlformats.org/officeDocument/2006/relationships/hyperlink" Target="http://www.mayorstaskforceforjobs.co.nz/home/about-us/" TargetMode="External"/><Relationship Id="rId22" Type="http://schemas.openxmlformats.org/officeDocument/2006/relationships/hyperlink" Target="http://www.taranakifutures.org.nz/" TargetMode="External"/><Relationship Id="rId27" Type="http://schemas.openxmlformats.org/officeDocument/2006/relationships/hyperlink" Target="http://youthguarantee.net.nz/vocational-pathways"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42BDF-E1BE-46CB-946A-878F3113D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1278</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TGM DESIGN</Company>
  <LinksUpToDate>false</LinksUpToDate>
  <CharactersWithSpaces>8552</CharactersWithSpaces>
  <SharedDoc>false</SharedDoc>
  <HLinks>
    <vt:vector size="6" baseType="variant">
      <vt:variant>
        <vt:i4>6881392</vt:i4>
      </vt:variant>
      <vt:variant>
        <vt:i4>2120</vt:i4>
      </vt:variant>
      <vt:variant>
        <vt:i4>1025</vt:i4>
      </vt:variant>
      <vt:variant>
        <vt:i4>1</vt:i4>
      </vt:variant>
      <vt:variant>
        <vt:lpwstr>Taranaki-Futures_LOGO_new-web-address_WHITE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Berry</dc:creator>
  <cp:keywords/>
  <dc:description/>
  <cp:lastModifiedBy>Warwick Foy</cp:lastModifiedBy>
  <cp:revision>5</cp:revision>
  <dcterms:created xsi:type="dcterms:W3CDTF">2016-05-31T04:31:00Z</dcterms:created>
  <dcterms:modified xsi:type="dcterms:W3CDTF">2017-05-01T22:42:00Z</dcterms:modified>
</cp:coreProperties>
</file>